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bookmarkStart w:id="0" w:name="_GoBack"/>
      <w:r>
        <w:rPr>
          <w:rFonts w:hint="default" w:ascii="Times New Roman" w:hAnsi="Times New Roman" w:cs="Times New Roman"/>
          <w:i w:val="0"/>
          <w:iCs w:val="0"/>
          <w:caps w:val="0"/>
          <w:color w:val="000000"/>
          <w:spacing w:val="0"/>
          <w:sz w:val="42"/>
          <w:szCs w:val="42"/>
          <w:bdr w:val="none" w:color="auto" w:sz="0" w:space="0"/>
        </w:rPr>
        <w:t>湛江奋勇高新区经济发展与科技局202</w:t>
      </w:r>
      <w:r>
        <w:rPr>
          <w:rFonts w:hint="eastAsia" w:ascii="Times New Roman" w:hAnsi="Times New Roman" w:cs="Times New Roman"/>
          <w:i w:val="0"/>
          <w:iCs w:val="0"/>
          <w:caps w:val="0"/>
          <w:color w:val="000000"/>
          <w:spacing w:val="0"/>
          <w:sz w:val="42"/>
          <w:szCs w:val="42"/>
          <w:bdr w:val="none" w:color="auto" w:sz="0" w:space="0"/>
          <w:lang w:val="en-US" w:eastAsia="zh-CN"/>
        </w:rPr>
        <w:t>4</w:t>
      </w:r>
      <w:r>
        <w:rPr>
          <w:rFonts w:hint="default" w:ascii="Times New Roman" w:hAnsi="Times New Roman" w:cs="Times New Roman"/>
          <w:i w:val="0"/>
          <w:iCs w:val="0"/>
          <w:caps w:val="0"/>
          <w:color w:val="000000"/>
          <w:spacing w:val="0"/>
          <w:sz w:val="42"/>
          <w:szCs w:val="42"/>
          <w:bdr w:val="none" w:color="auto" w:sz="0" w:space="0"/>
        </w:rPr>
        <w:t>年度政府信息公开工作年度报告</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6" w:firstLineChars="199"/>
        <w:jc w:val="both"/>
        <w:textAlignment w:val="auto"/>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一、总体情况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202</w:t>
      </w:r>
      <w:r>
        <w:rPr>
          <w:rFonts w:hint="eastAsia" w:ascii="仿宋_GB2312" w:hAnsi="仿宋_GB2312" w:eastAsia="仿宋_GB2312" w:cs="仿宋_GB2312"/>
          <w:i w:val="0"/>
          <w:iCs w:val="0"/>
          <w:caps w:val="0"/>
          <w:color w:val="000000"/>
          <w:spacing w:val="0"/>
          <w:sz w:val="32"/>
          <w:szCs w:val="32"/>
          <w:bdr w:val="none" w:color="auto" w:sz="0" w:space="0"/>
          <w:lang w:val="en-US" w:eastAsia="zh-CN"/>
        </w:rPr>
        <w:t>4</w:t>
      </w:r>
      <w:r>
        <w:rPr>
          <w:rFonts w:hint="eastAsia" w:ascii="仿宋_GB2312" w:hAnsi="仿宋_GB2312" w:eastAsia="仿宋_GB2312" w:cs="仿宋_GB2312"/>
          <w:i w:val="0"/>
          <w:iCs w:val="0"/>
          <w:caps w:val="0"/>
          <w:color w:val="000000"/>
          <w:spacing w:val="0"/>
          <w:sz w:val="32"/>
          <w:szCs w:val="32"/>
          <w:bdr w:val="none" w:color="auto" w:sz="0" w:space="0"/>
        </w:rPr>
        <w:t>年，我局在区党委、管委会的坚强领导下，以习近平新时代中国特色社会主义思想为指导，全面贯彻党的二十大精神，坚持以人民为中心，深化政务公开，不断完善政府信息公开制度、建立健全政府信息公开保障机制、规范梳理政府信息公开目录和指南、搭建政府信息公开网上平台，实事求是地按照有关规定公布各类政务信息和回应群众关注的热点问题。现将今年工作情况报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bdr w:val="none" w:color="auto" w:sz="0" w:space="0"/>
        </w:rPr>
        <w:t>（一）</w:t>
      </w:r>
      <w:r>
        <w:rPr>
          <w:rStyle w:val="6"/>
          <w:rFonts w:hint="eastAsia" w:ascii="楷体_GB2312" w:hAnsi="楷体_GB2312" w:eastAsia="楷体_GB2312" w:cs="楷体_GB2312"/>
          <w:i w:val="0"/>
          <w:iCs w:val="0"/>
          <w:caps w:val="0"/>
          <w:color w:val="000000"/>
          <w:spacing w:val="0"/>
          <w:sz w:val="32"/>
          <w:szCs w:val="32"/>
          <w:bdr w:val="none" w:color="auto" w:sz="0" w:space="0"/>
        </w:rPr>
        <w:t>加强领导，健全组织。</w:t>
      </w:r>
      <w:r>
        <w:rPr>
          <w:rFonts w:hint="default" w:ascii="仿宋_GB2312" w:hAnsi="仿宋_GB2312" w:eastAsia="仿宋_GB2312" w:cs="仿宋_GB2312"/>
          <w:i w:val="0"/>
          <w:iCs w:val="0"/>
          <w:caps w:val="0"/>
          <w:color w:val="000000"/>
          <w:spacing w:val="0"/>
          <w:sz w:val="32"/>
          <w:szCs w:val="32"/>
        </w:rPr>
        <w:t>我局高度重视政务公开工作，以行政许可双公开为依托，加强信息公开，成立局政务公开工作领导小组成员，领导小组由局长担任组长，领导小组下设办公室，具体负责政务公开活动。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仿宋_GB2312" w:hAnsi="仿宋_GB2312" w:eastAsia="仿宋_GB2312" w:cs="仿宋_GB2312"/>
          <w:i w:val="0"/>
          <w:iCs w:val="0"/>
          <w:caps w:val="0"/>
          <w:color w:val="000000"/>
          <w:spacing w:val="0"/>
          <w:sz w:val="32"/>
          <w:szCs w:val="32"/>
        </w:rPr>
      </w:pPr>
      <w:r>
        <w:rPr>
          <w:rFonts w:hint="default" w:ascii="楷体_GB2312" w:hAnsi="楷体_GB2312" w:eastAsia="楷体_GB2312" w:cs="楷体_GB2312"/>
          <w:b/>
          <w:bCs/>
          <w:i w:val="0"/>
          <w:iCs w:val="0"/>
          <w:caps w:val="0"/>
          <w:color w:val="000000"/>
          <w:spacing w:val="0"/>
          <w:sz w:val="32"/>
          <w:szCs w:val="32"/>
        </w:rPr>
        <w:t>（二）制定计划，严格执行。</w:t>
      </w:r>
      <w:r>
        <w:rPr>
          <w:rFonts w:hint="default" w:ascii="仿宋_GB2312" w:hAnsi="仿宋_GB2312" w:eastAsia="仿宋_GB2312" w:cs="仿宋_GB2312"/>
          <w:i w:val="0"/>
          <w:iCs w:val="0"/>
          <w:caps w:val="0"/>
          <w:color w:val="000000"/>
          <w:spacing w:val="0"/>
          <w:sz w:val="32"/>
          <w:szCs w:val="32"/>
        </w:rPr>
        <w:t>我们针对公众关注度较高的领域，如政策法规、项目审批、财政预算等，制定了详细的信息公开计划，并严格按照计划执行。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仿宋_GB2312" w:hAnsi="仿宋_GB2312" w:eastAsia="仿宋_GB2312" w:cs="仿宋_GB2312"/>
          <w:i w:val="0"/>
          <w:iCs w:val="0"/>
          <w:caps w:val="0"/>
          <w:color w:val="000000"/>
          <w:spacing w:val="0"/>
          <w:sz w:val="32"/>
          <w:szCs w:val="32"/>
        </w:rPr>
      </w:pPr>
      <w:r>
        <w:rPr>
          <w:rFonts w:hint="default" w:ascii="楷体_GB2312" w:hAnsi="楷体_GB2312" w:eastAsia="楷体_GB2312" w:cs="楷体_GB2312"/>
          <w:b/>
          <w:bCs/>
          <w:i w:val="0"/>
          <w:iCs w:val="0"/>
          <w:caps w:val="0"/>
          <w:color w:val="000000"/>
          <w:spacing w:val="0"/>
          <w:sz w:val="32"/>
          <w:szCs w:val="32"/>
        </w:rPr>
        <w:t>（三）做好惠企政策解读和回应工作。</w:t>
      </w:r>
      <w:r>
        <w:rPr>
          <w:rFonts w:hint="default" w:ascii="仿宋_GB2312" w:hAnsi="仿宋_GB2312" w:eastAsia="仿宋_GB2312" w:cs="仿宋_GB2312"/>
          <w:i w:val="0"/>
          <w:iCs w:val="0"/>
          <w:caps w:val="0"/>
          <w:color w:val="000000"/>
          <w:spacing w:val="0"/>
          <w:sz w:val="32"/>
          <w:szCs w:val="32"/>
        </w:rPr>
        <w:t>一是及时发布惠企政策，在惠企政策内容更新或者新政策发布的第一时间，及时在通过区政府门户网站、微信工作群平台等渠道予以公开。二是加强惠企政策解读力度，及时发布惠企政策解读文件，并通过文件通知、会议传达、图文材料等形式对重要政策措施释疑解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6" w:firstLineChars="199"/>
        <w:jc w:val="both"/>
        <w:textAlignment w:val="auto"/>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lang w:eastAsia="zh-CN"/>
          <w14:textFill>
            <w14:solidFill>
              <w14:schemeClr w14:val="tx1"/>
            </w14:solidFill>
          </w14:textFill>
        </w:rPr>
        <w:t>二、</w:t>
      </w: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主动公开政府信息情况</w:t>
      </w:r>
    </w:p>
    <w:tbl>
      <w:tblPr>
        <w:tblStyle w:val="4"/>
        <w:tblW w:w="8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720"/>
        <w:gridCol w:w="2435"/>
        <w:gridCol w:w="2435"/>
        <w:gridCol w:w="20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638"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本年制发件数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本年废止件数</w:t>
            </w:r>
          </w:p>
        </w:tc>
        <w:tc>
          <w:tcPr>
            <w:tcW w:w="204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w:t>
            </w:r>
          </w:p>
        </w:tc>
        <w:tc>
          <w:tcPr>
            <w:tcW w:w="204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w:t>
            </w:r>
          </w:p>
        </w:tc>
        <w:tc>
          <w:tcPr>
            <w:tcW w:w="204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638"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信息内容</w:t>
            </w:r>
          </w:p>
        </w:tc>
        <w:tc>
          <w:tcPr>
            <w:tcW w:w="6918"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行政许可</w:t>
            </w:r>
          </w:p>
        </w:tc>
        <w:tc>
          <w:tcPr>
            <w:tcW w:w="6918"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638"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信息内容</w:t>
            </w:r>
          </w:p>
        </w:tc>
        <w:tc>
          <w:tcPr>
            <w:tcW w:w="6918"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行政处罚</w:t>
            </w:r>
          </w:p>
        </w:tc>
        <w:tc>
          <w:tcPr>
            <w:tcW w:w="6918"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行政强制</w:t>
            </w:r>
          </w:p>
        </w:tc>
        <w:tc>
          <w:tcPr>
            <w:tcW w:w="6918"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638"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信息内容</w:t>
            </w:r>
          </w:p>
        </w:tc>
        <w:tc>
          <w:tcPr>
            <w:tcW w:w="6918"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行政事业性收费</w:t>
            </w:r>
          </w:p>
        </w:tc>
        <w:tc>
          <w:tcPr>
            <w:tcW w:w="6918"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w:t>
            </w:r>
          </w:p>
        </w:tc>
      </w:tr>
    </w:tbl>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color w:val="000000" w:themeColor="text1"/>
          <w14:textFill>
            <w14:solidFill>
              <w14:schemeClr w14:val="tx1"/>
            </w14:solidFill>
          </w14:textFill>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199" w:right="0" w:rightChars="0"/>
        <w:jc w:val="both"/>
        <w:textAlignment w:val="auto"/>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三、收到和处理政府信息公开申请情况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75"/>
        <w:gridCol w:w="959"/>
        <w:gridCol w:w="3191"/>
        <w:gridCol w:w="689"/>
        <w:gridCol w:w="689"/>
        <w:gridCol w:w="689"/>
        <w:gridCol w:w="689"/>
        <w:gridCol w:w="689"/>
        <w:gridCol w:w="689"/>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714"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自然人</w:t>
            </w:r>
          </w:p>
        </w:tc>
        <w:tc>
          <w:tcPr>
            <w:tcW w:w="357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法人或其他组织</w:t>
            </w:r>
          </w:p>
        </w:tc>
        <w:tc>
          <w:tcPr>
            <w:tcW w:w="714"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714"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企业</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机构</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社会公益组织</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法律服务机构</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其他</w:t>
            </w:r>
          </w:p>
        </w:tc>
        <w:tc>
          <w:tcPr>
            <w:tcW w:w="714"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一、本年新收政府信息公开申请数量</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二、上年结转政府信息公开申请数量</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三、本年度办理结果</w:t>
            </w: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（一）予以公开</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0 </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（二）部分公开（区分处理的，只计这一情形，不计其他情形）</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（三）不予公开</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1.属于国家秘密</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0 </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2.其他法律行政法规禁止公开</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3.危及“三安全一稳定”</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4.保护第三方合法权益</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5.属于三类内部事务信息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6.属于四类过程性信息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7.属于行政执法案卷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8.属于行政查询事项</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（四）无法提供</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1.本机关不掌握相关政府信息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2.没有现成信息需要另行制作</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3.补正后申请内容仍不明确</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（五）不予处理</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1.信访举报投诉类申请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2.重复申请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3.要求提供公开出版物</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4.无正当理由大量反复申请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340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5.要求行政机关确认或重新出具已获取信息</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0 </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59"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（六）其他处理</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1.申请人无正当理由逾期不补正、行政机关不再处理其政府信息公开申请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3.其他</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（七）总计</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四、结转下年度继续办理</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四、政府信息公开行政复议、行政诉讼情况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结果</w:t>
            </w:r>
            <w:r>
              <w:rPr>
                <w:rFonts w:hint="eastAsia" w:ascii="宋体" w:hAnsi="宋体" w:eastAsia="宋体" w:cs="宋体"/>
                <w:color w:val="000000" w:themeColor="text1"/>
                <w:kern w:val="0"/>
                <w:sz w:val="28"/>
                <w:szCs w:val="28"/>
                <w:lang w:val="en-US" w:eastAsia="zh-CN" w:bidi="ar"/>
                <w14:textFill>
                  <w14:solidFill>
                    <w14:schemeClr w14:val="tx1"/>
                  </w14:solidFill>
                </w14:textFill>
              </w:rPr>
              <w:br w:type="textWrapping"/>
            </w:r>
            <w:r>
              <w:rPr>
                <w:rFonts w:hint="eastAsia" w:ascii="宋体" w:hAnsi="宋体" w:eastAsia="宋体" w:cs="宋体"/>
                <w:color w:val="000000" w:themeColor="text1"/>
                <w:kern w:val="0"/>
                <w:sz w:val="28"/>
                <w:szCs w:val="28"/>
                <w:lang w:val="en-US" w:eastAsia="zh-CN" w:bidi="ar"/>
                <w14:textFill>
                  <w14:solidFill>
                    <w14:schemeClr w14:val="tx1"/>
                  </w14:solidFill>
                </w14:textFill>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其他</w:t>
            </w:r>
            <w:r>
              <w:rPr>
                <w:rFonts w:hint="eastAsia" w:ascii="宋体" w:hAnsi="宋体" w:eastAsia="宋体" w:cs="宋体"/>
                <w:color w:val="000000" w:themeColor="text1"/>
                <w:kern w:val="0"/>
                <w:sz w:val="28"/>
                <w:szCs w:val="28"/>
                <w:lang w:val="en-US" w:eastAsia="zh-CN" w:bidi="ar"/>
                <w14:textFill>
                  <w14:solidFill>
                    <w14:schemeClr w14:val="tx1"/>
                  </w14:solidFill>
                </w14:textFill>
              </w:rPr>
              <w:br w:type="textWrapping"/>
            </w:r>
            <w:r>
              <w:rPr>
                <w:rFonts w:hint="eastAsia" w:ascii="宋体" w:hAnsi="宋体" w:eastAsia="宋体" w:cs="宋体"/>
                <w:color w:val="000000" w:themeColor="text1"/>
                <w:kern w:val="0"/>
                <w:sz w:val="28"/>
                <w:szCs w:val="28"/>
                <w:lang w:val="en-US" w:eastAsia="zh-CN" w:bidi="ar"/>
                <w14:textFill>
                  <w14:solidFill>
                    <w14:schemeClr w14:val="tx1"/>
                  </w14:solidFill>
                </w14:textFill>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尚未</w:t>
            </w:r>
            <w:r>
              <w:rPr>
                <w:rFonts w:hint="eastAsia" w:ascii="宋体" w:hAnsi="宋体" w:eastAsia="宋体" w:cs="宋体"/>
                <w:color w:val="000000" w:themeColor="text1"/>
                <w:kern w:val="0"/>
                <w:sz w:val="28"/>
                <w:szCs w:val="28"/>
                <w:lang w:val="en-US" w:eastAsia="zh-CN" w:bidi="ar"/>
                <w14:textFill>
                  <w14:solidFill>
                    <w14:schemeClr w14:val="tx1"/>
                  </w14:solidFill>
                </w14:textFill>
              </w:rPr>
              <w:br w:type="textWrapping"/>
            </w:r>
            <w:r>
              <w:rPr>
                <w:rFonts w:hint="eastAsia" w:ascii="宋体" w:hAnsi="宋体" w:eastAsia="宋体" w:cs="宋体"/>
                <w:color w:val="000000" w:themeColor="text1"/>
                <w:kern w:val="0"/>
                <w:sz w:val="28"/>
                <w:szCs w:val="28"/>
                <w:lang w:val="en-US" w:eastAsia="zh-CN" w:bidi="ar"/>
                <w14:textFill>
                  <w14:solidFill>
                    <w14:schemeClr w14:val="tx1"/>
                  </w14:solidFill>
                </w14:textFill>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color w:val="000000" w:themeColor="text1"/>
                <w:sz w:val="28"/>
                <w:szCs w:val="28"/>
                <w14:textFill>
                  <w14:solidFill>
                    <w14:schemeClr w14:val="tx1"/>
                  </w14:solidFill>
                </w14:textFill>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color w:val="000000" w:themeColor="text1"/>
                <w:sz w:val="28"/>
                <w:szCs w:val="28"/>
                <w14:textFill>
                  <w14:solidFill>
                    <w14:schemeClr w14:val="tx1"/>
                  </w14:solidFill>
                </w14:textFill>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color w:val="000000" w:themeColor="text1"/>
                <w:sz w:val="28"/>
                <w:szCs w:val="28"/>
                <w14:textFill>
                  <w14:solidFill>
                    <w14:schemeClr w14:val="tx1"/>
                  </w14:solidFill>
                </w14:textFill>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color w:val="000000" w:themeColor="text1"/>
                <w:sz w:val="28"/>
                <w:szCs w:val="28"/>
                <w14:textFill>
                  <w14:solidFill>
                    <w14:schemeClr w14:val="tx1"/>
                  </w14:solidFill>
                </w14:textFill>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color w:val="000000" w:themeColor="text1"/>
                <w:sz w:val="28"/>
                <w:szCs w:val="28"/>
                <w14:textFill>
                  <w14:solidFill>
                    <w14:schemeClr w14:val="tx1"/>
                  </w14:solidFill>
                </w14:textFill>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结果</w:t>
            </w:r>
            <w:r>
              <w:rPr>
                <w:rFonts w:hint="eastAsia" w:ascii="宋体" w:hAnsi="宋体" w:eastAsia="宋体" w:cs="宋体"/>
                <w:color w:val="000000" w:themeColor="text1"/>
                <w:kern w:val="0"/>
                <w:sz w:val="28"/>
                <w:szCs w:val="28"/>
                <w:lang w:val="en-US" w:eastAsia="zh-CN" w:bidi="ar"/>
                <w14:textFill>
                  <w14:solidFill>
                    <w14:schemeClr w14:val="tx1"/>
                  </w14:solidFill>
                </w14:textFill>
              </w:rPr>
              <w:br w:type="textWrapping"/>
            </w:r>
            <w:r>
              <w:rPr>
                <w:rFonts w:hint="eastAsia" w:ascii="宋体" w:hAnsi="宋体" w:eastAsia="宋体" w:cs="宋体"/>
                <w:color w:val="000000" w:themeColor="text1"/>
                <w:kern w:val="0"/>
                <w:sz w:val="28"/>
                <w:szCs w:val="28"/>
                <w:lang w:val="en-US" w:eastAsia="zh-CN" w:bidi="ar"/>
                <w14:textFill>
                  <w14:solidFill>
                    <w14:schemeClr w14:val="tx1"/>
                  </w14:solidFill>
                </w14:textFill>
              </w:rPr>
              <w:t>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结果</w:t>
            </w:r>
            <w:r>
              <w:rPr>
                <w:rFonts w:hint="eastAsia" w:ascii="宋体" w:hAnsi="宋体" w:eastAsia="宋体" w:cs="宋体"/>
                <w:color w:val="000000" w:themeColor="text1"/>
                <w:kern w:val="0"/>
                <w:sz w:val="28"/>
                <w:szCs w:val="28"/>
                <w:lang w:val="en-US" w:eastAsia="zh-CN" w:bidi="ar"/>
                <w14:textFill>
                  <w14:solidFill>
                    <w14:schemeClr w14:val="tx1"/>
                  </w14:solidFill>
                </w14:textFill>
              </w:rPr>
              <w:br w:type="textWrapping"/>
            </w:r>
            <w:r>
              <w:rPr>
                <w:rFonts w:hint="eastAsia" w:ascii="宋体" w:hAnsi="宋体" w:eastAsia="宋体" w:cs="宋体"/>
                <w:color w:val="000000" w:themeColor="text1"/>
                <w:kern w:val="0"/>
                <w:sz w:val="28"/>
                <w:szCs w:val="28"/>
                <w:lang w:val="en-US" w:eastAsia="zh-CN" w:bidi="ar"/>
                <w14:textFill>
                  <w14:solidFill>
                    <w14:schemeClr w14:val="tx1"/>
                  </w14:solidFill>
                </w14:textFill>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其他</w:t>
            </w:r>
            <w:r>
              <w:rPr>
                <w:rFonts w:hint="eastAsia" w:ascii="宋体" w:hAnsi="宋体" w:eastAsia="宋体" w:cs="宋体"/>
                <w:color w:val="000000" w:themeColor="text1"/>
                <w:kern w:val="0"/>
                <w:sz w:val="28"/>
                <w:szCs w:val="28"/>
                <w:lang w:val="en-US" w:eastAsia="zh-CN" w:bidi="ar"/>
                <w14:textFill>
                  <w14:solidFill>
                    <w14:schemeClr w14:val="tx1"/>
                  </w14:solidFill>
                </w14:textFill>
              </w:rPr>
              <w:br w:type="textWrapping"/>
            </w:r>
            <w:r>
              <w:rPr>
                <w:rFonts w:hint="eastAsia" w:ascii="宋体" w:hAnsi="宋体" w:eastAsia="宋体" w:cs="宋体"/>
                <w:color w:val="000000" w:themeColor="text1"/>
                <w:kern w:val="0"/>
                <w:sz w:val="28"/>
                <w:szCs w:val="28"/>
                <w:lang w:val="en-US" w:eastAsia="zh-CN" w:bidi="ar"/>
                <w14:textFill>
                  <w14:solidFill>
                    <w14:schemeClr w14:val="tx1"/>
                  </w14:solidFill>
                </w14:textFill>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尚未</w:t>
            </w:r>
            <w:r>
              <w:rPr>
                <w:rFonts w:hint="eastAsia" w:ascii="宋体" w:hAnsi="宋体" w:eastAsia="宋体" w:cs="宋体"/>
                <w:color w:val="000000" w:themeColor="text1"/>
                <w:kern w:val="0"/>
                <w:sz w:val="28"/>
                <w:szCs w:val="28"/>
                <w:lang w:val="en-US" w:eastAsia="zh-CN" w:bidi="ar"/>
                <w14:textFill>
                  <w14:solidFill>
                    <w14:schemeClr w14:val="tx1"/>
                  </w14:solidFill>
                </w14:textFill>
              </w:rPr>
              <w:br w:type="textWrapping"/>
            </w:r>
            <w:r>
              <w:rPr>
                <w:rFonts w:hint="eastAsia" w:ascii="宋体" w:hAnsi="宋体" w:eastAsia="宋体" w:cs="宋体"/>
                <w:color w:val="000000" w:themeColor="text1"/>
                <w:kern w:val="0"/>
                <w:sz w:val="28"/>
                <w:szCs w:val="28"/>
                <w:lang w:val="en-US" w:eastAsia="zh-CN" w:bidi="ar"/>
                <w14:textFill>
                  <w14:solidFill>
                    <w14:schemeClr w14:val="tx1"/>
                  </w14:solidFill>
                </w14:textFill>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结果</w:t>
            </w:r>
            <w:r>
              <w:rPr>
                <w:rFonts w:hint="eastAsia" w:ascii="宋体" w:hAnsi="宋体" w:eastAsia="宋体" w:cs="宋体"/>
                <w:color w:val="000000" w:themeColor="text1"/>
                <w:kern w:val="0"/>
                <w:sz w:val="28"/>
                <w:szCs w:val="28"/>
                <w:lang w:val="en-US" w:eastAsia="zh-CN" w:bidi="ar"/>
                <w14:textFill>
                  <w14:solidFill>
                    <w14:schemeClr w14:val="tx1"/>
                  </w14:solidFill>
                </w14:textFill>
              </w:rPr>
              <w:br w:type="textWrapping"/>
            </w:r>
            <w:r>
              <w:rPr>
                <w:rFonts w:hint="eastAsia" w:ascii="宋体" w:hAnsi="宋体" w:eastAsia="宋体" w:cs="宋体"/>
                <w:color w:val="000000" w:themeColor="text1"/>
                <w:kern w:val="0"/>
                <w:sz w:val="28"/>
                <w:szCs w:val="28"/>
                <w:lang w:val="en-US" w:eastAsia="zh-CN" w:bidi="ar"/>
                <w14:textFill>
                  <w14:solidFill>
                    <w14:schemeClr w14:val="tx1"/>
                  </w14:solidFill>
                </w14:textFill>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结果</w:t>
            </w:r>
            <w:r>
              <w:rPr>
                <w:rFonts w:hint="eastAsia" w:ascii="宋体" w:hAnsi="宋体" w:eastAsia="宋体" w:cs="宋体"/>
                <w:color w:val="000000" w:themeColor="text1"/>
                <w:kern w:val="0"/>
                <w:sz w:val="28"/>
                <w:szCs w:val="28"/>
                <w:lang w:val="en-US" w:eastAsia="zh-CN" w:bidi="ar"/>
                <w14:textFill>
                  <w14:solidFill>
                    <w14:schemeClr w14:val="tx1"/>
                  </w14:solidFill>
                </w14:textFill>
              </w:rPr>
              <w:br w:type="textWrapping"/>
            </w:r>
            <w:r>
              <w:rPr>
                <w:rFonts w:hint="eastAsia" w:ascii="宋体" w:hAnsi="宋体" w:eastAsia="宋体" w:cs="宋体"/>
                <w:color w:val="000000" w:themeColor="text1"/>
                <w:kern w:val="0"/>
                <w:sz w:val="28"/>
                <w:szCs w:val="28"/>
                <w:lang w:val="en-US" w:eastAsia="zh-CN" w:bidi="ar"/>
                <w14:textFill>
                  <w14:solidFill>
                    <w14:schemeClr w14:val="tx1"/>
                  </w14:solidFill>
                </w14:textFill>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其他</w:t>
            </w:r>
            <w:r>
              <w:rPr>
                <w:rFonts w:hint="eastAsia" w:ascii="宋体" w:hAnsi="宋体" w:eastAsia="宋体" w:cs="宋体"/>
                <w:color w:val="000000" w:themeColor="text1"/>
                <w:kern w:val="0"/>
                <w:sz w:val="28"/>
                <w:szCs w:val="28"/>
                <w:lang w:val="en-US" w:eastAsia="zh-CN" w:bidi="ar"/>
                <w14:textFill>
                  <w14:solidFill>
                    <w14:schemeClr w14:val="tx1"/>
                  </w14:solidFill>
                </w14:textFill>
              </w:rPr>
              <w:br w:type="textWrapping"/>
            </w:r>
            <w:r>
              <w:rPr>
                <w:rFonts w:hint="eastAsia" w:ascii="宋体" w:hAnsi="宋体" w:eastAsia="宋体" w:cs="宋体"/>
                <w:color w:val="000000" w:themeColor="text1"/>
                <w:kern w:val="0"/>
                <w:sz w:val="28"/>
                <w:szCs w:val="28"/>
                <w:lang w:val="en-US" w:eastAsia="zh-CN" w:bidi="ar"/>
                <w14:textFill>
                  <w14:solidFill>
                    <w14:schemeClr w14:val="tx1"/>
                  </w14:solidFill>
                </w14:textFill>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尚未</w:t>
            </w:r>
            <w:r>
              <w:rPr>
                <w:rFonts w:hint="eastAsia" w:ascii="宋体" w:hAnsi="宋体" w:eastAsia="宋体" w:cs="宋体"/>
                <w:color w:val="000000" w:themeColor="text1"/>
                <w:kern w:val="0"/>
                <w:sz w:val="28"/>
                <w:szCs w:val="28"/>
                <w:lang w:val="en-US" w:eastAsia="zh-CN" w:bidi="ar"/>
                <w14:textFill>
                  <w14:solidFill>
                    <w14:schemeClr w14:val="tx1"/>
                  </w14:solidFill>
                </w14:textFill>
              </w:rPr>
              <w:br w:type="textWrapping"/>
            </w:r>
            <w:r>
              <w:rPr>
                <w:rFonts w:hint="eastAsia" w:ascii="宋体" w:hAnsi="宋体" w:eastAsia="宋体" w:cs="宋体"/>
                <w:color w:val="000000" w:themeColor="text1"/>
                <w:kern w:val="0"/>
                <w:sz w:val="28"/>
                <w:szCs w:val="28"/>
                <w:lang w:val="en-US" w:eastAsia="zh-CN" w:bidi="ar"/>
                <w14:textFill>
                  <w14:solidFill>
                    <w14:schemeClr w14:val="tx1"/>
                  </w14:solidFill>
                </w14:textFill>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0</w:t>
            </w:r>
          </w:p>
        </w:tc>
      </w:tr>
    </w:tbl>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color w:val="000000" w:themeColor="text1"/>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五、存在的主要问题及改进情况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rPr>
        <w:t>年，在上级有关部门的正确指导</w:t>
      </w:r>
      <w:r>
        <w:rPr>
          <w:rFonts w:hint="eastAsia" w:ascii="仿宋_GB2312" w:hAnsi="仿宋_GB2312" w:eastAsia="仿宋_GB2312" w:cs="仿宋_GB2312"/>
          <w:i w:val="0"/>
          <w:iCs w:val="0"/>
          <w:caps w:val="0"/>
          <w:color w:val="000000"/>
          <w:spacing w:val="0"/>
          <w:sz w:val="32"/>
          <w:szCs w:val="32"/>
          <w:lang w:eastAsia="zh-CN"/>
        </w:rPr>
        <w:t>和引领</w:t>
      </w:r>
      <w:r>
        <w:rPr>
          <w:rFonts w:hint="eastAsia" w:ascii="仿宋_GB2312" w:hAnsi="仿宋_GB2312" w:eastAsia="仿宋_GB2312" w:cs="仿宋_GB2312"/>
          <w:i w:val="0"/>
          <w:iCs w:val="0"/>
          <w:caps w:val="0"/>
          <w:color w:val="000000"/>
          <w:spacing w:val="0"/>
          <w:sz w:val="32"/>
          <w:szCs w:val="32"/>
        </w:rPr>
        <w:t>下，我局政务公开工作取得了一定的成效，但还</w:t>
      </w:r>
      <w:r>
        <w:rPr>
          <w:rFonts w:hint="eastAsia" w:ascii="仿宋_GB2312" w:hAnsi="仿宋_GB2312" w:eastAsia="仿宋_GB2312" w:cs="仿宋_GB2312"/>
          <w:i w:val="0"/>
          <w:iCs w:val="0"/>
          <w:caps w:val="0"/>
          <w:color w:val="000000"/>
          <w:spacing w:val="0"/>
          <w:sz w:val="32"/>
          <w:szCs w:val="32"/>
          <w:lang w:eastAsia="zh-CN"/>
        </w:rPr>
        <w:t>仍</w:t>
      </w:r>
      <w:r>
        <w:rPr>
          <w:rFonts w:hint="eastAsia" w:ascii="仿宋_GB2312" w:hAnsi="仿宋_GB2312" w:eastAsia="仿宋_GB2312" w:cs="仿宋_GB2312"/>
          <w:i w:val="0"/>
          <w:iCs w:val="0"/>
          <w:caps w:val="0"/>
          <w:color w:val="000000"/>
          <w:spacing w:val="0"/>
          <w:sz w:val="32"/>
          <w:szCs w:val="32"/>
        </w:rPr>
        <w:t>存在信息公开内容还不够丰富、对信息公开的内容和范围把握不准等问题。这些问题将在我局202</w:t>
      </w:r>
      <w:r>
        <w:rPr>
          <w:rFonts w:hint="eastAsia" w:ascii="仿宋_GB2312" w:hAnsi="仿宋_GB2312" w:eastAsia="仿宋_GB2312" w:cs="仿宋_GB2312"/>
          <w:i w:val="0"/>
          <w:iCs w:val="0"/>
          <w:caps w:val="0"/>
          <w:color w:val="000000"/>
          <w:spacing w:val="0"/>
          <w:sz w:val="32"/>
          <w:szCs w:val="32"/>
          <w:lang w:val="en-US" w:eastAsia="zh-CN"/>
        </w:rPr>
        <w:t>5</w:t>
      </w:r>
      <w:r>
        <w:rPr>
          <w:rFonts w:hint="eastAsia" w:ascii="仿宋_GB2312" w:hAnsi="仿宋_GB2312" w:eastAsia="仿宋_GB2312" w:cs="仿宋_GB2312"/>
          <w:i w:val="0"/>
          <w:iCs w:val="0"/>
          <w:caps w:val="0"/>
          <w:color w:val="000000"/>
          <w:spacing w:val="0"/>
          <w:sz w:val="32"/>
          <w:szCs w:val="32"/>
        </w:rPr>
        <w:t>年政务公开中予以逐步的落实和改进。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_GB2312" w:hAnsi="楷体_GB2312" w:eastAsia="楷体_GB2312" w:cs="楷体_GB2312"/>
          <w:i w:val="0"/>
          <w:iCs w:val="0"/>
          <w:caps w:val="0"/>
          <w:color w:val="000000"/>
          <w:spacing w:val="0"/>
          <w:sz w:val="32"/>
          <w:szCs w:val="32"/>
        </w:rPr>
      </w:pPr>
      <w:r>
        <w:rPr>
          <w:rStyle w:val="6"/>
          <w:rFonts w:hint="eastAsia" w:ascii="楷体_GB2312" w:hAnsi="楷体_GB2312" w:eastAsia="楷体_GB2312" w:cs="楷体_GB2312"/>
          <w:i w:val="0"/>
          <w:iCs w:val="0"/>
          <w:caps w:val="0"/>
          <w:color w:val="000000"/>
          <w:spacing w:val="0"/>
          <w:sz w:val="32"/>
          <w:szCs w:val="32"/>
          <w:bdr w:val="none" w:color="auto" w:sz="0" w:space="0"/>
        </w:rPr>
        <w:t>下一步改进措施</w:t>
      </w:r>
      <w:r>
        <w:rPr>
          <w:rFonts w:hint="eastAsia" w:ascii="楷体_GB2312" w:hAnsi="楷体_GB2312" w:eastAsia="楷体_GB2312" w:cs="楷体_GB2312"/>
          <w:i w:val="0"/>
          <w:iCs w:val="0"/>
          <w:caps w:val="0"/>
          <w:color w:val="000000"/>
          <w:spacing w:val="0"/>
          <w:sz w:val="32"/>
          <w:szCs w:val="32"/>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i w:val="0"/>
          <w:iCs w:val="0"/>
          <w:caps w:val="0"/>
          <w:color w:val="000000"/>
          <w:spacing w:val="0"/>
          <w:sz w:val="27"/>
          <w:szCs w:val="27"/>
        </w:rPr>
      </w:pPr>
      <w:r>
        <w:rPr>
          <w:rStyle w:val="6"/>
          <w:rFonts w:hint="default" w:ascii="楷体_GB2312" w:hAnsi="楷体_GB2312" w:eastAsia="楷体_GB2312" w:cs="楷体_GB2312"/>
          <w:i w:val="0"/>
          <w:iCs w:val="0"/>
          <w:caps w:val="0"/>
          <w:color w:val="000000"/>
          <w:spacing w:val="0"/>
          <w:sz w:val="32"/>
          <w:szCs w:val="32"/>
        </w:rPr>
        <w:t>（一）加强信息管理。</w:t>
      </w:r>
      <w:r>
        <w:rPr>
          <w:rFonts w:hint="default" w:ascii="仿宋_GB2312" w:hAnsi="仿宋_GB2312" w:eastAsia="仿宋_GB2312" w:cs="仿宋_GB2312"/>
          <w:i w:val="0"/>
          <w:iCs w:val="0"/>
          <w:caps w:val="0"/>
          <w:color w:val="000000"/>
          <w:spacing w:val="0"/>
          <w:sz w:val="32"/>
          <w:szCs w:val="32"/>
        </w:rPr>
        <w:t>加强对政务公开业务学习，不断提高信息公开意识和服务意识。建立健全信息更新机制，确保信息及时、准确地发布。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i w:val="0"/>
          <w:iCs w:val="0"/>
          <w:caps w:val="0"/>
          <w:color w:val="000000"/>
          <w:spacing w:val="0"/>
          <w:sz w:val="27"/>
          <w:szCs w:val="27"/>
        </w:rPr>
      </w:pPr>
      <w:r>
        <w:rPr>
          <w:rStyle w:val="6"/>
          <w:rFonts w:hint="default" w:ascii="楷体_GB2312" w:hAnsi="楷体_GB2312" w:eastAsia="楷体_GB2312" w:cs="楷体_GB2312"/>
          <w:i w:val="0"/>
          <w:iCs w:val="0"/>
          <w:caps w:val="0"/>
          <w:color w:val="000000"/>
          <w:spacing w:val="0"/>
          <w:sz w:val="32"/>
          <w:szCs w:val="32"/>
        </w:rPr>
        <w:t>（二）优化反馈渠道。</w:t>
      </w:r>
      <w:r>
        <w:rPr>
          <w:rFonts w:hint="default" w:ascii="仿宋_GB2312" w:hAnsi="仿宋_GB2312" w:eastAsia="仿宋_GB2312" w:cs="仿宋_GB2312"/>
          <w:i w:val="0"/>
          <w:iCs w:val="0"/>
          <w:caps w:val="0"/>
          <w:color w:val="000000"/>
          <w:spacing w:val="0"/>
          <w:sz w:val="32"/>
          <w:szCs w:val="32"/>
        </w:rPr>
        <w:t>积极开展政务公开宣传活动，充分利用新媒体平台的作用，拓宽政务公开渠道，提供交流、互动传播的平台，开展全方位、多层次、立体式的宣传报道,增加反馈途径，建立快速响应机制，保证公众意见得到及时回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Style w:val="6"/>
          <w:rFonts w:hint="default" w:ascii="楷体_GB2312" w:hAnsi="楷体_GB2312" w:eastAsia="楷体_GB2312" w:cs="楷体_GB2312"/>
          <w:i w:val="0"/>
          <w:iCs w:val="0"/>
          <w:caps w:val="0"/>
          <w:color w:val="000000"/>
          <w:spacing w:val="0"/>
          <w:sz w:val="32"/>
          <w:szCs w:val="32"/>
        </w:rPr>
        <w:t>（三）提高服务质量。</w:t>
      </w:r>
      <w:r>
        <w:rPr>
          <w:rFonts w:hint="default" w:ascii="仿宋_GB2312" w:hAnsi="仿宋_GB2312" w:eastAsia="仿宋_GB2312" w:cs="仿宋_GB2312"/>
          <w:i w:val="0"/>
          <w:iCs w:val="0"/>
          <w:caps w:val="0"/>
          <w:color w:val="000000"/>
          <w:spacing w:val="0"/>
          <w:sz w:val="32"/>
          <w:szCs w:val="32"/>
        </w:rPr>
        <w:t>加强与群众的联系，了解群众的需求，及时发布公众需要获取的信息。提高干部的信息公开意识和能力，组织专门的培训课程，邀请专家讲解相关政策和技巧。</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其他需要报告的事项</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420" w:leftChars="0" w:right="0" w:rightChars="0"/>
        <w:jc w:val="both"/>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default" w:ascii="仿宋_GB2312" w:hAnsi="仿宋_GB2312" w:eastAsia="仿宋_GB2312" w:cs="仿宋_GB2312"/>
          <w:i w:val="0"/>
          <w:iCs w:val="0"/>
          <w:caps w:val="0"/>
          <w:color w:val="000000"/>
          <w:spacing w:val="0"/>
          <w:kern w:val="0"/>
          <w:sz w:val="32"/>
          <w:szCs w:val="32"/>
          <w:lang w:val="en-US" w:eastAsia="zh-CN" w:bidi="ar"/>
        </w:rPr>
        <w:t>本年度，未收取信息处理费。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11F21C"/>
    <w:multiLevelType w:val="singleLevel"/>
    <w:tmpl w:val="AD11F21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5MDFlYWQyMjc1ZmQxNTJlYjg1MmVlMjY0ODY3NzkifQ=="/>
  </w:docVars>
  <w:rsids>
    <w:rsidRoot w:val="00000000"/>
    <w:rsid w:val="10C832C3"/>
    <w:rsid w:val="19E3241A"/>
    <w:rsid w:val="1E8937EC"/>
    <w:rsid w:val="3D82046B"/>
    <w:rsid w:val="6FCF35D4"/>
    <w:rsid w:val="70C3042B"/>
    <w:rsid w:val="780C4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769</Words>
  <Characters>788</Characters>
  <Lines>0</Lines>
  <Paragraphs>0</Paragraphs>
  <TotalTime>3</TotalTime>
  <ScaleCrop>false</ScaleCrop>
  <LinksUpToDate>false</LinksUpToDate>
  <CharactersWithSpaces>976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Wsh</cp:lastModifiedBy>
  <cp:lastPrinted>2021-11-08T10:08:00Z</cp:lastPrinted>
  <dcterms:modified xsi:type="dcterms:W3CDTF">2025-01-15T09:21:45Z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D8D7D05A19F94DCDA93B0C0DD4793389</vt:lpwstr>
  </property>
  <property fmtid="{D5CDD505-2E9C-101B-9397-08002B2CF9AE}" pid="4" name="KSOTemplateDocerSaveRecord">
    <vt:lpwstr>eyJoZGlkIjoiZTE5NDFkODE0NWU4Y2ZiMTU0NTkxZDQ5OTFmOGUxMzgiLCJ1c2VySWQiOiIyMTIzNTUzNDYifQ==</vt:lpwstr>
  </property>
</Properties>
</file>