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97AC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p w14:paraId="0408F75E">
      <w:pPr>
        <w:pStyle w:val="2"/>
        <w:widowControl/>
        <w:shd w:val="clear" w:color="auto" w:fill="FFFFFF"/>
        <w:spacing w:beforeAutospacing="0" w:afterAutospacing="0" w:line="600" w:lineRule="exact"/>
        <w:jc w:val="center"/>
        <w:rPr>
          <w:rFonts w:hint="eastAsia" w:ascii="方正小标宋_GBK" w:hAnsi="方正小标宋_GBK" w:eastAsia="方正小标宋_GBK" w:cs="方正小标宋_GBK"/>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_GBK" w:eastAsia="方正小标宋简体" w:cs="方正小标宋_GBK"/>
          <w:color w:val="000000" w:themeColor="text1"/>
          <w:sz w:val="44"/>
          <w:szCs w:val="44"/>
          <w:shd w:val="clear" w:color="auto" w:fill="FFFFFF"/>
          <w14:textFill>
            <w14:solidFill>
              <w14:schemeClr w14:val="tx1"/>
            </w14:solidFill>
          </w14:textFill>
        </w:rPr>
        <w:t>湛江奋勇高新区财政与投资管理局202</w:t>
      </w:r>
      <w:r>
        <w:rPr>
          <w:rFonts w:hint="eastAsia" w:ascii="方正小标宋简体" w:hAnsi="方正小标宋_GBK" w:eastAsia="方正小标宋简体" w:cs="方正小标宋_GBK"/>
          <w:color w:val="000000" w:themeColor="text1"/>
          <w:sz w:val="44"/>
          <w:szCs w:val="44"/>
          <w:shd w:val="clear" w:color="auto" w:fill="FFFFFF"/>
          <w:lang w:val="en-US" w:eastAsia="zh-CN"/>
          <w14:textFill>
            <w14:solidFill>
              <w14:schemeClr w14:val="tx1"/>
            </w14:solidFill>
          </w14:textFill>
        </w:rPr>
        <w:t>4</w:t>
      </w:r>
      <w:r>
        <w:rPr>
          <w:rFonts w:hint="eastAsia" w:ascii="方正小标宋简体" w:hAnsi="方正小标宋_GBK" w:eastAsia="方正小标宋简体" w:cs="方正小标宋_GBK"/>
          <w:color w:val="000000" w:themeColor="text1"/>
          <w:sz w:val="44"/>
          <w:szCs w:val="44"/>
          <w:shd w:val="clear" w:color="auto" w:fill="FFFFFF"/>
          <w14:textFill>
            <w14:solidFill>
              <w14:schemeClr w14:val="tx1"/>
            </w14:solidFill>
          </w14:textFill>
        </w:rPr>
        <w:t>年度政府信息公开工作年度报告</w:t>
      </w:r>
    </w:p>
    <w:p w14:paraId="44A5CA4F">
      <w:pPr>
        <w:spacing w:line="600" w:lineRule="exact"/>
        <w:ind w:firstLine="640" w:firstLineChars="200"/>
        <w:rPr>
          <w:rFonts w:hint="eastAsia" w:ascii="仿宋_GB2312" w:hAnsi="微软雅黑" w:eastAsia="仿宋_GB2312"/>
          <w:sz w:val="32"/>
          <w:szCs w:val="32"/>
          <w:shd w:val="clear" w:color="auto" w:fill="FFFFFF"/>
        </w:rPr>
      </w:pPr>
    </w:p>
    <w:p w14:paraId="27DE3688">
      <w:pPr>
        <w:spacing w:line="600" w:lineRule="exact"/>
        <w:ind w:firstLine="640" w:firstLineChars="20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仿宋_GB2312" w:hAnsi="微软雅黑" w:eastAsia="仿宋_GB2312"/>
          <w:sz w:val="32"/>
          <w:szCs w:val="32"/>
          <w:shd w:val="clear" w:color="auto" w:fill="FFFFFF"/>
        </w:rPr>
        <w:t>根据</w:t>
      </w:r>
      <w:r>
        <w:rPr>
          <w:rFonts w:hint="eastAsia" w:ascii="仿宋_GB2312" w:hAnsi="仿宋_GB2312" w:eastAsia="仿宋_GB2312" w:cs="仿宋_GB2312"/>
          <w:sz w:val="32"/>
          <w:szCs w:val="32"/>
          <w:shd w:val="clear" w:color="auto" w:fill="FFFFFF"/>
        </w:rPr>
        <w:t>《中华人民共和国政府信息公开条例》和</w:t>
      </w:r>
      <w:r>
        <w:rPr>
          <w:rFonts w:hint="eastAsia" w:ascii="仿宋_GB2312" w:hAnsi="微软雅黑" w:eastAsia="仿宋_GB2312"/>
          <w:sz w:val="32"/>
          <w:szCs w:val="32"/>
          <w:shd w:val="clear" w:color="auto" w:fill="FFFFFF"/>
        </w:rPr>
        <w:t>《国务院办公厅政府信息与政务公开办公室关于政府信息公开工作年度报告有关事项的通知》等相关规定，现公布湛江奋勇高新区财政与投资管理局202</w:t>
      </w:r>
      <w:r>
        <w:rPr>
          <w:rFonts w:hint="eastAsia" w:ascii="仿宋_GB2312" w:hAnsi="微软雅黑" w:eastAsia="仿宋_GB2312"/>
          <w:sz w:val="32"/>
          <w:szCs w:val="32"/>
          <w:shd w:val="clear" w:color="auto" w:fill="FFFFFF"/>
          <w:lang w:val="en-US" w:eastAsia="zh-CN"/>
        </w:rPr>
        <w:t>4</w:t>
      </w:r>
      <w:r>
        <w:rPr>
          <w:rFonts w:hint="eastAsia" w:ascii="仿宋_GB2312" w:hAnsi="微软雅黑" w:eastAsia="仿宋_GB2312"/>
          <w:sz w:val="32"/>
          <w:szCs w:val="32"/>
          <w:shd w:val="clear" w:color="auto" w:fill="FFFFFF"/>
        </w:rPr>
        <w:t>年政府信息公开工作年度报告。本报告由总体情况、主动公开政府信息情况、收到和处理政府信息公开申请情况、政府信息公开行政复议及行政诉讼情况、存在的主要问题及改进情况、其他需要报告的事项等六部分组成，所列举数据的统计起止时间为202</w:t>
      </w:r>
      <w:r>
        <w:rPr>
          <w:rFonts w:hint="eastAsia" w:ascii="仿宋_GB2312" w:hAnsi="微软雅黑" w:eastAsia="仿宋_GB2312"/>
          <w:sz w:val="32"/>
          <w:szCs w:val="32"/>
          <w:shd w:val="clear" w:color="auto" w:fill="FFFFFF"/>
          <w:lang w:val="en-US" w:eastAsia="zh-CN"/>
        </w:rPr>
        <w:t>4</w:t>
      </w:r>
      <w:r>
        <w:rPr>
          <w:rFonts w:hint="eastAsia" w:ascii="仿宋_GB2312" w:hAnsi="微软雅黑" w:eastAsia="仿宋_GB2312"/>
          <w:sz w:val="32"/>
          <w:szCs w:val="32"/>
          <w:shd w:val="clear" w:color="auto" w:fill="FFFFFF"/>
        </w:rPr>
        <w:t>年1月1日至202</w:t>
      </w:r>
      <w:r>
        <w:rPr>
          <w:rFonts w:hint="eastAsia" w:ascii="仿宋_GB2312" w:hAnsi="微软雅黑" w:eastAsia="仿宋_GB2312"/>
          <w:sz w:val="32"/>
          <w:szCs w:val="32"/>
          <w:shd w:val="clear" w:color="auto" w:fill="FFFFFF"/>
          <w:lang w:val="en-US" w:eastAsia="zh-CN"/>
        </w:rPr>
        <w:t>4</w:t>
      </w:r>
      <w:r>
        <w:rPr>
          <w:rFonts w:hint="eastAsia" w:ascii="仿宋_GB2312" w:hAnsi="微软雅黑" w:eastAsia="仿宋_GB2312"/>
          <w:sz w:val="32"/>
          <w:szCs w:val="32"/>
          <w:shd w:val="clear" w:color="auto" w:fill="FFFFFF"/>
        </w:rPr>
        <w:t>年12月31日。本年度报告电子版</w:t>
      </w:r>
      <w:r>
        <w:rPr>
          <w:rFonts w:hint="eastAsia" w:ascii="仿宋_GB2312" w:eastAsia="仿宋_GB2312"/>
          <w:sz w:val="32"/>
          <w:szCs w:val="32"/>
        </w:rPr>
        <w:t>可在“广东湛江奋勇高新区”（http://www.fenyong.gov.cn/）网站查询和下载。如对本报告有任何疑问，请与湛江奋勇高新区财政与投资管理局联系。（地址：湛江奋勇高新区管委会机关大院，邮编：524232，联系电话：0759-8156506，电子邮箱：</w:t>
      </w:r>
      <w:r>
        <w:rPr>
          <w:rFonts w:hint="eastAsia" w:ascii="仿宋_GB2312" w:hAnsi="微软雅黑" w:eastAsia="仿宋_GB2312"/>
          <w:sz w:val="32"/>
          <w:szCs w:val="32"/>
          <w:shd w:val="clear" w:color="auto" w:fill="FFFFFF"/>
        </w:rPr>
        <w:t>zjfenyong</w:t>
      </w:r>
      <w:r>
        <w:rPr>
          <w:rFonts w:ascii="仿宋_GB2312" w:hAnsi="微软雅黑" w:eastAsia="仿宋_GB2312"/>
          <w:sz w:val="32"/>
          <w:szCs w:val="32"/>
          <w:shd w:val="clear" w:color="auto" w:fill="FFFFFF"/>
        </w:rPr>
        <w:t>@163.com</w:t>
      </w:r>
      <w:r>
        <w:rPr>
          <w:rFonts w:hint="eastAsia" w:ascii="仿宋_GB2312" w:eastAsia="仿宋_GB2312"/>
          <w:sz w:val="32"/>
          <w:szCs w:val="32"/>
        </w:rPr>
        <w:t>）</w:t>
      </w:r>
    </w:p>
    <w:p w14:paraId="7D24FBE4">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6" w:firstLineChars="199"/>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总体情况</w:t>
      </w:r>
    </w:p>
    <w:p w14:paraId="6FB7BD9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年，区财政局在区党委、管委会及上级主管部门的指导下，</w:t>
      </w:r>
      <w:r>
        <w:rPr>
          <w:rFonts w:hint="eastAsia" w:ascii="Times New Roman" w:hAnsi="Times New Roman" w:eastAsia="仿宋_GB2312" w:cs="Times New Roman"/>
          <w:kern w:val="2"/>
          <w:sz w:val="32"/>
          <w:szCs w:val="32"/>
          <w:shd w:val="clear" w:color="auto" w:fill="FFFFFF"/>
          <w:lang w:val="en-US" w:eastAsia="zh-CN" w:bidi="ar-SA"/>
        </w:rPr>
        <w:t>坚持以习近平新时代中国特色社会主义思想为指导，全面贯彻落实党的二十大和二十届二中、三中全会精神，</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认真</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做好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政府信息与政务公开的有关</w:t>
      </w:r>
      <w:r>
        <w:rPr>
          <w:rFonts w:hint="eastAsia" w:ascii="Times New Roman" w:hAnsi="Times New Roman" w:eastAsia="仿宋_GB2312" w:cs="Times New Roman"/>
          <w:kern w:val="2"/>
          <w:sz w:val="32"/>
          <w:szCs w:val="32"/>
          <w:shd w:val="clear" w:color="auto" w:fill="FFFFFF"/>
          <w:lang w:val="en-US" w:eastAsia="zh-CN" w:bidi="ar-SA"/>
        </w:rPr>
        <w:t>工作，规范梳理政府信息公开目录和指南，</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不断完善政府信息公开内容，全面、细致地开展政府信息公开工作。</w:t>
      </w:r>
    </w:p>
    <w:p w14:paraId="34BF166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（一）加强组织领导。区财政局高度重视政务公开工作，认真履行职责，按照要求对政府及部门预决算、债务管理等信息公开，加大预决算信息、债务管理信息公开力度，继续扩大信息公开范围。截至202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年12月31日，我局已按相关要求公开政府预决算、部门预决算、债务信息等内容。</w:t>
      </w:r>
    </w:p>
    <w:p w14:paraId="33101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（二）规范信息管理。按照“公开为原则，不公开为例外”的总要求，严格遵守我区各项信息公开制度,进一步规范政府信息公开工作</w:t>
      </w:r>
      <w:bookmarkStart w:id="0" w:name="_GoBack"/>
      <w:bookmarkEnd w:id="0"/>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完善信息发布工作，做到及时、准确、全面公开信息，以栏目布局简洁、结构层次分明、信息获取便捷为原则，推动门户网站创新发展，对拟公开的信息进行严格的审查，对政务信息安全事故责任追究形成长效机制。</w:t>
      </w:r>
    </w:p>
    <w:p w14:paraId="0AEF0B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（三）加强业务培训。通过多途径多形式学习业务知识，加强政务公开业务知识储备，打牢信息公开工作基础，进一步提升我局政务公开业务水平，提高信息公开质量。</w:t>
      </w:r>
    </w:p>
    <w:p w14:paraId="69F735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36" w:firstLineChars="199"/>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lang w:eastAsia="zh-CN"/>
          <w14:textFill>
            <w14:solidFill>
              <w14:schemeClr w14:val="tx1"/>
            </w14:solidFill>
          </w14:textFill>
        </w:rPr>
        <w:t>二、</w:t>
      </w: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主动公开政府信息情况</w:t>
      </w:r>
    </w:p>
    <w:tbl>
      <w:tblPr>
        <w:tblStyle w:val="3"/>
        <w:tblW w:w="86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720"/>
        <w:gridCol w:w="2435"/>
        <w:gridCol w:w="2435"/>
        <w:gridCol w:w="2048"/>
      </w:tblGrid>
      <w:tr w14:paraId="6AA6A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8638"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2EDC7F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第二十条第（一）项</w:t>
            </w:r>
          </w:p>
        </w:tc>
      </w:tr>
      <w:tr w14:paraId="3DD3F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E2F5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4F62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30BEF16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本年废止件数</w:t>
            </w:r>
          </w:p>
        </w:tc>
        <w:tc>
          <w:tcPr>
            <w:tcW w:w="204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51E45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现行有效件数</w:t>
            </w:r>
          </w:p>
        </w:tc>
      </w:tr>
      <w:tr w14:paraId="7CC8A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E90B82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48CA7EA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2676E1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14:paraId="4223BF4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14:paraId="7ED30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93F3D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98BB4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14:paraId="17F199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c>
          <w:tcPr>
            <w:tcW w:w="2048" w:type="dxa"/>
            <w:tcBorders>
              <w:top w:val="nil"/>
              <w:left w:val="nil"/>
              <w:bottom w:val="single" w:color="auto" w:sz="8" w:space="0"/>
              <w:right w:val="single" w:color="auto" w:sz="8" w:space="0"/>
            </w:tcBorders>
            <w:shd w:val="clear" w:color="auto" w:fill="auto"/>
            <w:tcMar>
              <w:left w:w="57" w:type="dxa"/>
              <w:right w:w="57" w:type="dxa"/>
            </w:tcMar>
            <w:vAlign w:val="center"/>
          </w:tcPr>
          <w:p w14:paraId="3CFC88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14:paraId="4913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657C3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第二十条第（五）项</w:t>
            </w:r>
          </w:p>
        </w:tc>
      </w:tr>
      <w:tr w14:paraId="48841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09CA9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79BDA4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本年处理决定数量</w:t>
            </w:r>
          </w:p>
        </w:tc>
      </w:tr>
      <w:tr w14:paraId="302D6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41058B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行政许可</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51D33D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14:paraId="3ACA2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62D923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第二十条第（六）项</w:t>
            </w:r>
          </w:p>
        </w:tc>
      </w:tr>
      <w:tr w14:paraId="0F10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491BB8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6918"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FAE3D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本年处理决定数量</w:t>
            </w:r>
          </w:p>
        </w:tc>
      </w:tr>
      <w:tr w14:paraId="1277D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CDB86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行政处罚</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0FB1C1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14:paraId="19461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28C303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行政强制</w:t>
            </w:r>
          </w:p>
        </w:tc>
        <w:tc>
          <w:tcPr>
            <w:tcW w:w="6918"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14:paraId="123A97B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r w14:paraId="17914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8638"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018D455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第二十条第（八）项</w:t>
            </w:r>
          </w:p>
        </w:tc>
      </w:tr>
      <w:tr w14:paraId="7E90E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FFE10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信息内容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054F98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本年收费金额（单位：万元）</w:t>
            </w:r>
          </w:p>
        </w:tc>
      </w:tr>
      <w:tr w14:paraId="390A6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720"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054534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行政事业性收费</w:t>
            </w:r>
          </w:p>
        </w:tc>
        <w:tc>
          <w:tcPr>
            <w:tcW w:w="6918"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14:paraId="4D96A0A0">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w:t>
            </w:r>
          </w:p>
        </w:tc>
      </w:tr>
    </w:tbl>
    <w:p w14:paraId="13DB0D37">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color w:val="000000" w:themeColor="text1"/>
          <w14:textFill>
            <w14:solidFill>
              <w14:schemeClr w14:val="tx1"/>
            </w14:solidFill>
          </w14:textFill>
        </w:rPr>
      </w:pPr>
    </w:p>
    <w:p w14:paraId="4497396C">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199" w:right="0" w:rightChars="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三、收到和处理政府信息公开申请情况</w:t>
      </w:r>
    </w:p>
    <w:p w14:paraId="3EA6D9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仿宋_GB2312" w:hAnsi="仿宋_GB2312" w:eastAsia="仿宋_GB2312" w:cs="仿宋_GB2312"/>
          <w:i w:val="0"/>
          <w:iCs w:val="0"/>
          <w:caps w:val="0"/>
          <w:color w:val="000000" w:themeColor="text1"/>
          <w:spacing w:val="0"/>
          <w:sz w:val="28"/>
          <w:szCs w:val="28"/>
          <w14:textFill>
            <w14:solidFill>
              <w14:schemeClr w14:val="tx1"/>
            </w14:solidFill>
          </w14:textFill>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75"/>
        <w:gridCol w:w="959"/>
        <w:gridCol w:w="3191"/>
        <w:gridCol w:w="689"/>
        <w:gridCol w:w="689"/>
        <w:gridCol w:w="689"/>
        <w:gridCol w:w="689"/>
        <w:gridCol w:w="689"/>
        <w:gridCol w:w="689"/>
        <w:gridCol w:w="689"/>
      </w:tblGrid>
      <w:tr w14:paraId="1030725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492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392392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6BD774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申请人情况</w:t>
            </w:r>
          </w:p>
        </w:tc>
      </w:tr>
      <w:tr w14:paraId="293EB14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45BEA07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8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14:paraId="5D952E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自然人</w:t>
            </w:r>
          </w:p>
        </w:tc>
        <w:tc>
          <w:tcPr>
            <w:tcW w:w="344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8CCE2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643BAE8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总计</w:t>
            </w:r>
          </w:p>
        </w:tc>
      </w:tr>
      <w:tr w14:paraId="030141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14:paraId="598996E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8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14:paraId="22BC589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64AF2B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商业</w:t>
            </w:r>
          </w:p>
          <w:p w14:paraId="61BB6CF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企业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6B6E21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科研</w:t>
            </w:r>
          </w:p>
          <w:p w14:paraId="37ED91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479361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社会公益组织</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7BEABE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法律服务机构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14:paraId="23F180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14:paraId="03DA675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r>
      <w:tr w14:paraId="725EB4B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660B44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一、本年新收政府信息公开申请数量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2E0F7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FE3BB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E1358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AFDB29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A0F35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673E5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6670B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5946903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19B67B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二、上年结转政府信息公开申请数量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9AD76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0576AFA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60D032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FB98B1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39635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06AB879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B14678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271B77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5"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0F02C8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三、本年度办理结果</w:t>
            </w:r>
          </w:p>
        </w:tc>
        <w:tc>
          <w:tcPr>
            <w:tcW w:w="415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428CD0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（一）予以公开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7C0EDE1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8742DE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7B70B48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03CB9B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6239E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F29B1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06380A1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7389C9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1AAFDE6">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415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78D804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（二）部分公开（区分处理的，只计这一情形，不计其他情形）</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43ED3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4D9DD9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4D088B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D1666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84850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3C907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4CD3AC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504ED6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759CFC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A52D9B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（三）不予公开</w:t>
            </w: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73CD5B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1.属于国家秘密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EE615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FD07D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974A9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D1C5C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403EBA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0D87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14:paraId="02BB06F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442B3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02C685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187BFA9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09C173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2.其他法律行政法规禁止公开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69E8E6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B5505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A1B2F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EE6FD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04473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E071A2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1A4578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4DF5025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C8E0B1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6D19447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22ED3C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3.危及“三安全一稳定”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CBFF3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EFAB6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819F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173D9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2C686F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A3044E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AA0780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183234A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4C322E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43F65B7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724663A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4.保护第三方合法权益</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742ABE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96D93B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D656B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0E90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76891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EA7E7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3BD97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2855CD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11212E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FAB93F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23FA408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5.属于三类内部事务信息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BBFD63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F0F2B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9E10C6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6DC27B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78F16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E2854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A414E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4873D30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B30120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C615FF3">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0089D0A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6.属于四类过程性信息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020147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40355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B61C9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257ED0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523A9D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844D85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E8D93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15723D8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9951891">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472B7B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6D281F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7.属于行政执法案卷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66E3D2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ECADE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C8EF6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D33C62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261F5E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0C2804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34A38A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kern w:val="0"/>
                <w:sz w:val="28"/>
                <w:szCs w:val="28"/>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753DD39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47B2150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E92203A">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4C7842E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8.属于行政查询事项</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2C5954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E8C5E6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F7F76C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AD3196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C40ACB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71C44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0DE3BC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797D9F5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21D17AF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09CF0B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（四）无法提供</w:t>
            </w: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6BCF0D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1.本机关不掌握相关政府信息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CDE54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4853D2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FCD6CE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590D8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CF94A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888B2E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5D0F8D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7C78A00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72EEF2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3DE32992">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7E6651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2.没有现成信息需要另行制作</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F4503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D6E90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40E68E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C3983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E019EB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38950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C8E10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7D33756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DBA8A7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38FA2A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687BBE4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3.补正后申请内容仍不明确</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0D00BB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2DD1F1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D6F49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EB287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2D9D1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084F0D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980E9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3D1074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1243853E">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14:paraId="26C831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（五）不予处理</w:t>
            </w: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398AED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1.信访举报投诉类申请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87C7B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75FF7F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21FFB3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6D45A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6034C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FBC933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07A7B7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7E1308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673F0B2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0F447477">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5A7F2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538C66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D9057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C7988E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BABBB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19C97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86D56C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FC292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00D52E8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7615A61C">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26CC80F5">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7EADF1B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3.要求提供公开出版物</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64A34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89E67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E7E54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750DE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3E47F49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F2BB87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79DCF19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6CA052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F0C490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5464DF80">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top"/>
          </w:tcPr>
          <w:p w14:paraId="5C6145D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4.无正当理由大量反复申请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1E5BD4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1BF4B4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612FE2F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0A88BA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1A3394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4C30095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E1BDEC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58FDF6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5B5D052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14:paraId="7E6D0B0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outset" w:color="auto" w:sz="8" w:space="0"/>
              <w:right w:val="single" w:color="auto" w:sz="8" w:space="0"/>
            </w:tcBorders>
            <w:shd w:val="clear" w:color="auto" w:fill="auto"/>
            <w:tcMar>
              <w:left w:w="57" w:type="dxa"/>
              <w:right w:w="57" w:type="dxa"/>
            </w:tcMar>
            <w:vAlign w:val="center"/>
          </w:tcPr>
          <w:p w14:paraId="410139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5.要求行政机关确认或重新出具已获取信息</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24B1CC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7D01F8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5480C3C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262FD8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32F8C4F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56986B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top"/>
          </w:tcPr>
          <w:p w14:paraId="5448CE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48AE363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E093669">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198167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（六）其他处理</w:t>
            </w:r>
          </w:p>
        </w:tc>
        <w:tc>
          <w:tcPr>
            <w:tcW w:w="3191" w:type="dxa"/>
            <w:tcBorders>
              <w:top w:val="nil"/>
              <w:left w:val="nil"/>
              <w:bottom w:val="single" w:color="auto" w:sz="8" w:space="0"/>
              <w:right w:val="single" w:color="auto" w:sz="8" w:space="0"/>
            </w:tcBorders>
            <w:shd w:val="clear" w:color="auto" w:fill="auto"/>
            <w:tcMar>
              <w:left w:w="57" w:type="dxa"/>
              <w:right w:w="57" w:type="dxa"/>
            </w:tcMar>
            <w:vAlign w:val="center"/>
          </w:tcPr>
          <w:p w14:paraId="72D54D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1.申请人无正当理由逾期不补正、行政机关不再处理其政府信息公开申请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1F050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7A5AB14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F882B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16CAC0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1EAF55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C0DB8F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18C931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6D79E7B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5F08ADF">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158E89E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center"/>
          </w:tcPr>
          <w:p w14:paraId="31B7BF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both"/>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2.申请人逾期未按收费通知要求缴纳费用、行政机关不再处理其政府信息公开申请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6AFFD8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DF26A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BEBC34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28CD51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9BE999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05AFB2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58744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5A4D61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0813B5FB">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95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14:paraId="0820296D">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3191" w:type="dxa"/>
            <w:tcBorders>
              <w:top w:val="nil"/>
              <w:left w:val="nil"/>
              <w:bottom w:val="single" w:color="auto" w:sz="8" w:space="0"/>
              <w:right w:val="single" w:color="auto" w:sz="8" w:space="0"/>
            </w:tcBorders>
            <w:shd w:val="clear" w:color="auto" w:fill="auto"/>
            <w:tcMar>
              <w:left w:w="57" w:type="dxa"/>
              <w:right w:w="57" w:type="dxa"/>
            </w:tcMar>
            <w:vAlign w:val="center"/>
          </w:tcPr>
          <w:p w14:paraId="77FB4D9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3.其他</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FCE010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5017F6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5DFA17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0894175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F7612C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5BACAAD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20347F9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2D5F2D1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5"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14:paraId="3D095298">
            <w:pPr>
              <w:keepNext w:val="0"/>
              <w:keepLines w:val="0"/>
              <w:pageBreakBefore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color w:val="000000" w:themeColor="text1"/>
                <w:sz w:val="28"/>
                <w:szCs w:val="28"/>
                <w14:textFill>
                  <w14:solidFill>
                    <w14:schemeClr w14:val="tx1"/>
                  </w14:solidFill>
                </w14:textFill>
              </w:rPr>
            </w:pPr>
          </w:p>
        </w:tc>
        <w:tc>
          <w:tcPr>
            <w:tcW w:w="4150"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14:paraId="58BC88A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（七）总计</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103426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8C54B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7FAB327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1C8DC64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72FCC92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CFDFBC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14:paraId="593119B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r w14:paraId="3986EDB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14:paraId="32C3E11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left"/>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四、结转下年度继续办理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5AB44F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7F87167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778B66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4D6173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default" w:ascii="仿宋_GB2312" w:hAnsi="仿宋_GB2312" w:eastAsia="仿宋_GB2312" w:cs="仿宋_GB2312"/>
                <w:color w:val="000000" w:themeColor="text1"/>
                <w:sz w:val="28"/>
                <w:szCs w:val="28"/>
                <w:lang w:val="en-US"/>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6BC4B4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2615573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14:paraId="3E0EFBB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auto"/>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bidi="ar"/>
                <w14:textFill>
                  <w14:solidFill>
                    <w14:schemeClr w14:val="tx1"/>
                  </w14:solidFill>
                </w14:textFill>
              </w:rPr>
              <w:t>0</w:t>
            </w:r>
          </w:p>
        </w:tc>
      </w:tr>
    </w:tbl>
    <w:p w14:paraId="2D7F066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p w14:paraId="068528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both"/>
        <w:textAlignment w:val="auto"/>
        <w:rPr>
          <w:rFonts w:hint="eastAsia" w:ascii="黑体" w:hAnsi="黑体" w:eastAsia="黑体" w:cs="黑体"/>
          <w:b w:val="0"/>
          <w:bCs w:val="0"/>
          <w:i w:val="0"/>
          <w:iCs w:val="0"/>
          <w:caps w:val="0"/>
          <w:color w:val="000000" w:themeColor="text1"/>
          <w:spacing w:val="0"/>
          <w:sz w:val="32"/>
          <w:szCs w:val="32"/>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四、政府信息公开行政复议、行政诉讼情况</w:t>
      </w:r>
    </w:p>
    <w:p w14:paraId="7BABBA46">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p>
    <w:tbl>
      <w:tblPr>
        <w:tblStyle w:val="3"/>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458213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D78B33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440F6B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行政诉讼</w:t>
            </w:r>
          </w:p>
        </w:tc>
      </w:tr>
      <w:tr w14:paraId="50989A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01AD9E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8B2AE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AAB29A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其他</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48384D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尚未</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8C96A1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05C585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627662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复议后起诉</w:t>
            </w:r>
          </w:p>
        </w:tc>
      </w:tr>
      <w:tr w14:paraId="5FDD314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5883E88">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E5639BF">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90D108C">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7A99AA5">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569EA53">
            <w:pPr>
              <w:keepNext w:val="0"/>
              <w:keepLines w:val="0"/>
              <w:pageBreakBefore w:val="0"/>
              <w:kinsoku/>
              <w:wordWrap/>
              <w:overflowPunct/>
              <w:topLinePunct w:val="0"/>
              <w:autoSpaceDE/>
              <w:autoSpaceDN/>
              <w:bidi w:val="0"/>
              <w:adjustRightInd/>
              <w:snapToGrid/>
              <w:spacing w:line="600" w:lineRule="exact"/>
              <w:textAlignment w:val="auto"/>
              <w:rPr>
                <w:rFonts w:hint="eastAsia" w:ascii="宋体"/>
                <w:color w:val="000000" w:themeColor="text1"/>
                <w:sz w:val="28"/>
                <w:szCs w:val="28"/>
                <w14:textFill>
                  <w14:solidFill>
                    <w14:schemeClr w14:val="tx1"/>
                  </w14:solidFill>
                </w14:textFill>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8A880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B167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7E5122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其他</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1AF290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尚未</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B4C66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7650BEB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DB8B8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347AFBA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其他</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57C0282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尚未</w:t>
            </w:r>
            <w:r>
              <w:rPr>
                <w:rFonts w:hint="eastAsia" w:ascii="宋体" w:hAnsi="宋体" w:eastAsia="宋体" w:cs="宋体"/>
                <w:color w:val="000000" w:themeColor="text1"/>
                <w:kern w:val="0"/>
                <w:sz w:val="28"/>
                <w:szCs w:val="28"/>
                <w:lang w:val="en-US" w:eastAsia="zh-CN" w:bidi="ar"/>
                <w14:textFill>
                  <w14:solidFill>
                    <w14:schemeClr w14:val="tx1"/>
                  </w14:solidFill>
                </w14:textFill>
              </w:rPr>
              <w:br w:type="textWrapping"/>
            </w:r>
            <w:r>
              <w:rPr>
                <w:rFonts w:hint="eastAsia" w:ascii="宋体" w:hAnsi="宋体" w:eastAsia="宋体" w:cs="宋体"/>
                <w:color w:val="000000" w:themeColor="text1"/>
                <w:kern w:val="0"/>
                <w:sz w:val="28"/>
                <w:szCs w:val="28"/>
                <w:lang w:val="en-US" w:eastAsia="zh-CN" w:bidi="ar"/>
                <w14:textFill>
                  <w14:solidFill>
                    <w14:schemeClr w14:val="tx1"/>
                  </w14:solidFill>
                </w14:textFill>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29F1D7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lang w:val="en-US" w:eastAsia="zh-CN" w:bidi="ar"/>
                <w14:textFill>
                  <w14:solidFill>
                    <w14:schemeClr w14:val="tx1"/>
                  </w14:solidFill>
                </w14:textFill>
              </w:rPr>
              <w:t>总计</w:t>
            </w:r>
          </w:p>
        </w:tc>
      </w:tr>
      <w:tr w14:paraId="6B18AF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EF7DD2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color w:val="000000" w:themeColor="text1"/>
                <w:sz w:val="28"/>
                <w:szCs w:val="28"/>
                <w:lang w:val="en-US"/>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73FA7F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color w:val="000000" w:themeColor="text1"/>
                <w:sz w:val="28"/>
                <w:szCs w:val="28"/>
                <w:lang w:val="en-US"/>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BC47F0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3ED61D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13A0B6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color w:val="000000" w:themeColor="text1"/>
                <w:sz w:val="28"/>
                <w:szCs w:val="28"/>
                <w:lang w:val="en-US"/>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803E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7DE581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color w:val="000000" w:themeColor="text1"/>
                <w:sz w:val="28"/>
                <w:szCs w:val="28"/>
                <w:lang w:val="en-US"/>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5485BF4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C2A8F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80E318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2F49E9E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952C33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default"/>
                <w:color w:val="000000" w:themeColor="text1"/>
                <w:sz w:val="28"/>
                <w:szCs w:val="28"/>
                <w:lang w:val="en-US"/>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B58AB7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7713A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color w:val="000000" w:themeColor="text1"/>
                <w:sz w:val="28"/>
                <w:szCs w:val="28"/>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D41F2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leftChars="0" w:right="0" w:rightChars="0" w:firstLine="0" w:firstLineChars="0"/>
              <w:jc w:val="center"/>
              <w:textAlignment w:val="auto"/>
              <w:rPr>
                <w:rFonts w:hint="eastAsia" w:ascii="宋体" w:eastAsiaTheme="minorEastAsia"/>
                <w:color w:val="000000" w:themeColor="text1"/>
                <w:sz w:val="28"/>
                <w:szCs w:val="28"/>
                <w:lang w:val="en-US" w:eastAsia="zh-CN"/>
                <w14:textFill>
                  <w14:solidFill>
                    <w14:schemeClr w14:val="tx1"/>
                  </w14:solidFill>
                </w14:textFill>
              </w:rPr>
            </w:pPr>
            <w:r>
              <w:rPr>
                <w:rFonts w:hint="eastAsia" w:ascii="黑体" w:hAnsi="宋体" w:eastAsia="黑体" w:cs="黑体"/>
                <w:color w:val="000000" w:themeColor="text1"/>
                <w:kern w:val="0"/>
                <w:sz w:val="28"/>
                <w:szCs w:val="28"/>
                <w:lang w:val="en-US" w:eastAsia="zh-CN" w:bidi="ar"/>
                <w14:textFill>
                  <w14:solidFill>
                    <w14:schemeClr w14:val="tx1"/>
                  </w14:solidFill>
                </w14:textFill>
              </w:rPr>
              <w:t>0</w:t>
            </w:r>
          </w:p>
        </w:tc>
      </w:tr>
    </w:tbl>
    <w:p w14:paraId="315DE2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p>
    <w:p w14:paraId="03EED84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五、存在的主要问题及改进情况</w:t>
      </w:r>
    </w:p>
    <w:p w14:paraId="08AB6F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年，在区党委、管委会的正确指导下，区财政局政务公开工作取得了一定成效,但也存在着一些不足之处:一是政务信息公开的主动性和时效性有待加强,二是业务熟悉度需进一步提高。财政信息专业性强、涉及面广,公开的事项多、要求高,需不断加强业务培训;三是信息公开的形式和途径不够丰富。</w:t>
      </w:r>
    </w:p>
    <w:p w14:paraId="0902E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微软雅黑" w:eastAsia="楷体_GB2312" w:cstheme="minorBidi"/>
          <w:b/>
          <w:kern w:val="2"/>
          <w:sz w:val="32"/>
          <w:szCs w:val="32"/>
          <w:shd w:val="clear" w:color="auto" w:fill="FFFFFF"/>
          <w:lang w:val="en-US" w:eastAsia="zh-CN" w:bidi="ar-SA"/>
        </w:rPr>
        <w:t>下一步改讲措施:</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(一)重视信息公开工作,提高信息公开水平。进一步提高全局</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干部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职工对政务信息公开工作重要性的认识，要求经办同志熟悉信息公开的内容、要求、流程和制度，切实提高政务信息公开工作水平。</w:t>
      </w:r>
    </w:p>
    <w:p w14:paraId="6BDEFCD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(二)紧抓重点工作，强化重点领域公开。按照</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省</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财政厅和市财政局的工作要求，积极扩大公开范围，拓展公开领域，细化公开内容，加大对政府预决算、部门预决算、预算调整、地方政府债务信息等公开力度，不断拓宽信息发布的精度、深度、广度。</w:t>
      </w:r>
    </w:p>
    <w:p w14:paraId="15B3F9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(三)加强信息公开业务学习。积极参加我区及上级业务主管部门组织的政务公开培训,提高信息公开业务水平，进一步规范政府信息公开管理,提升信息发布质</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量。</w:t>
      </w:r>
    </w:p>
    <w:p w14:paraId="092433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b w:val="0"/>
          <w:bCs w:val="0"/>
          <w:i w:val="0"/>
          <w:iCs w:val="0"/>
          <w:caps w:val="0"/>
          <w:color w:val="000000" w:themeColor="text1"/>
          <w:spacing w:val="0"/>
          <w:sz w:val="32"/>
          <w:szCs w:val="32"/>
          <w:shd w:val="clear" w:fill="FFFFFF"/>
          <w14:textFill>
            <w14:solidFill>
              <w14:schemeClr w14:val="tx1"/>
            </w14:solidFill>
          </w14:textFill>
        </w:rPr>
        <w:t>六、其他需要报告的事项</w:t>
      </w:r>
    </w:p>
    <w:p w14:paraId="09403E74">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本年度，未收取信息处理费。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8B7C8B"/>
    <w:multiLevelType w:val="singleLevel"/>
    <w:tmpl w:val="548B7C8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C34524"/>
    <w:rsid w:val="0D847672"/>
    <w:rsid w:val="0E342E47"/>
    <w:rsid w:val="10C832C3"/>
    <w:rsid w:val="19E3241A"/>
    <w:rsid w:val="1ED0096A"/>
    <w:rsid w:val="1FFB1DF6"/>
    <w:rsid w:val="3D82046B"/>
    <w:rsid w:val="3F9133A5"/>
    <w:rsid w:val="40D479EE"/>
    <w:rsid w:val="51C22DFE"/>
    <w:rsid w:val="588565C6"/>
    <w:rsid w:val="661A250A"/>
    <w:rsid w:val="6FCF35D4"/>
    <w:rsid w:val="701D01BA"/>
    <w:rsid w:val="70C3042B"/>
    <w:rsid w:val="77250B48"/>
    <w:rsid w:val="780C43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1975</Words>
  <Characters>2077</Characters>
  <Lines>0</Lines>
  <Paragraphs>0</Paragraphs>
  <TotalTime>1</TotalTime>
  <ScaleCrop>false</ScaleCrop>
  <LinksUpToDate>false</LinksUpToDate>
  <CharactersWithSpaces>2077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华长</cp:lastModifiedBy>
  <cp:lastPrinted>2021-11-08T10:08:00Z</cp:lastPrinted>
  <dcterms:modified xsi:type="dcterms:W3CDTF">2025-01-16T07:50:48Z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CA1EC05FF8EE4011871A5ED86AEBCB03_13</vt:lpwstr>
  </property>
  <property fmtid="{D5CDD505-2E9C-101B-9397-08002B2CF9AE}" pid="4" name="KSOTemplateDocerSaveRecord">
    <vt:lpwstr>eyJoZGlkIjoiZDRhYzVjZGViNWZlYzg3OWZhN2YwYzBlYjFlZTNkYTEiLCJ1c2VySWQiOiIyMDA4ODcxMzgifQ==</vt:lpwstr>
  </property>
</Properties>
</file>