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F320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color="auto" w:fill="FFFFFF"/>
          <w:lang w:val="en-US" w:eastAsia="zh-CN" w:bidi="ar-SA"/>
        </w:rPr>
        <w:t>湛江奋勇高新区规划与开发建设局2024年度政府信息公开工作年度报告</w:t>
      </w:r>
    </w:p>
    <w:p w14:paraId="58E3BA6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微软雅黑" w:eastAsia="仿宋_GB2312" w:cstheme="minorBidi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78668B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微软雅黑" w:eastAsia="仿宋_GB2312" w:cstheme="minorBidi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theme="minorBidi"/>
          <w:kern w:val="2"/>
          <w:sz w:val="32"/>
          <w:szCs w:val="32"/>
          <w:shd w:val="clear" w:color="auto" w:fill="FFFFFF"/>
          <w:lang w:val="en-US" w:eastAsia="zh-CN" w:bidi="ar-SA"/>
        </w:rPr>
        <w:t>本报告由湛江奋勇高新区规划与开发建设局根据《中华人民共和国政府信息公开条例》和《国务院办公厅政府信息与政务公开办公室关于印发&lt;中华人民共和国政府信息公开工作年度报告格式&gt;的通知》等文件精神，并结合我局实际编写而成。全文包括总体情况、主动公开政府信息情况、收到和处理政府信息公开申请情况、政府信息公开行政复议、行政诉讼情况、存在的主要问题及改进情况、其他需要报告的事项等六部分内容。本年度报告中所列数据统计期限从2024年1月1日起至2024年12月31日止。本年度报告电子版可在“广东湛江奋勇高新区”（http://www.fenyong.gov.cn/）网站查询和下载。如对本报告有疑问，请与湛江奋勇高新区规划与开发建设局联系（地址：湛江奋勇高新区管委会机关大院，邮编：524232，电话：0759-8156005，传真：0759-8156021，电子邮箱：zj</w:t>
      </w:r>
      <w:r>
        <w:rPr>
          <w:rFonts w:hint="eastAsia" w:ascii="仿宋_GB2312" w:hAnsi="微软雅黑" w:eastAsia="仿宋_GB2312" w:cstheme="minorBidi"/>
          <w:kern w:val="2"/>
          <w:sz w:val="32"/>
          <w:szCs w:val="32"/>
          <w:shd w:val="clear" w:color="auto" w:fill="FFFFFF"/>
          <w:lang w:val="en-US" w:eastAsia="zh-CN" w:bidi="ar-SA"/>
        </w:rPr>
        <w:fldChar w:fldCharType="begin"/>
      </w:r>
      <w:r>
        <w:rPr>
          <w:rFonts w:hint="eastAsia" w:ascii="仿宋_GB2312" w:hAnsi="微软雅黑" w:eastAsia="仿宋_GB2312" w:cstheme="minorBidi"/>
          <w:kern w:val="2"/>
          <w:sz w:val="32"/>
          <w:szCs w:val="32"/>
          <w:shd w:val="clear" w:color="auto" w:fill="FFFFFF"/>
          <w:lang w:val="en-US" w:eastAsia="zh-CN" w:bidi="ar-SA"/>
        </w:rPr>
        <w:instrText xml:space="preserve"> HYPERLINK "mailto:fygxq@163.com" </w:instrText>
      </w:r>
      <w:r>
        <w:rPr>
          <w:rFonts w:hint="eastAsia" w:ascii="仿宋_GB2312" w:hAnsi="微软雅黑" w:eastAsia="仿宋_GB2312" w:cstheme="minorBidi"/>
          <w:kern w:val="2"/>
          <w:sz w:val="32"/>
          <w:szCs w:val="32"/>
          <w:shd w:val="clear" w:color="auto" w:fill="FFFFFF"/>
          <w:lang w:val="en-US" w:eastAsia="zh-CN" w:bidi="ar-SA"/>
        </w:rPr>
        <w:fldChar w:fldCharType="separate"/>
      </w:r>
      <w:r>
        <w:rPr>
          <w:rFonts w:hint="eastAsia" w:ascii="仿宋_GB2312" w:hAnsi="微软雅黑" w:eastAsia="仿宋_GB2312" w:cstheme="minorBidi"/>
          <w:kern w:val="2"/>
          <w:sz w:val="32"/>
          <w:szCs w:val="32"/>
          <w:shd w:val="clear" w:color="auto" w:fill="FFFFFF"/>
          <w:lang w:val="en-US" w:eastAsia="zh-CN" w:bidi="ar-SA"/>
        </w:rPr>
        <w:t>fygxq@163.com</w:t>
      </w:r>
      <w:r>
        <w:rPr>
          <w:rFonts w:hint="eastAsia" w:ascii="仿宋_GB2312" w:hAnsi="微软雅黑" w:eastAsia="仿宋_GB2312" w:cstheme="minorBidi"/>
          <w:kern w:val="2"/>
          <w:sz w:val="32"/>
          <w:szCs w:val="32"/>
          <w:shd w:val="clear" w:color="auto" w:fill="FFFFFF"/>
          <w:lang w:val="en-US" w:eastAsia="zh-CN" w:bidi="ar-SA"/>
        </w:rPr>
        <w:fldChar w:fldCharType="end"/>
      </w:r>
      <w:r>
        <w:rPr>
          <w:rFonts w:hint="eastAsia" w:ascii="仿宋_GB2312" w:hAnsi="微软雅黑" w:eastAsia="仿宋_GB2312" w:cstheme="minorBidi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7D24FBE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一、总体情况</w:t>
      </w:r>
    </w:p>
    <w:p w14:paraId="4013B8DB">
      <w:pPr>
        <w:spacing w:line="600" w:lineRule="exact"/>
        <w:ind w:firstLine="640" w:firstLineChars="200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年，我局按照区党委、管委会的工作部署，高度重视政府信息公开工作，在上级业务部门的指导下，认真按照上级部门关于政府信息公开工作的有关文件要求，聚焦中心工作和重点领域，不断推进行政决策、执行、管理、服务和结果全过程公开，不断增强政府工作透明度，持续推行依法行政工作，以政务公开为切入点，畅通群众民主沟通渠道和机关干部服务群众意识，密切党群关系，不断深化机关效能。现将今年工作情况报告如下：</w:t>
      </w:r>
    </w:p>
    <w:p w14:paraId="6DD01EA8">
      <w:pPr>
        <w:spacing w:line="600" w:lineRule="exact"/>
        <w:ind w:firstLine="643" w:firstLineChars="200"/>
        <w:rPr>
          <w:rFonts w:ascii="仿宋_GB2312" w:hAnsi="Calibri" w:eastAsia="仿宋_GB2312" w:cs="Times New Roman"/>
          <w:color w:val="1B1B1B"/>
          <w:sz w:val="32"/>
          <w:szCs w:val="32"/>
        </w:rPr>
      </w:pPr>
      <w:r>
        <w:rPr>
          <w:rFonts w:hint="eastAsia" w:ascii="楷体_GB2312" w:hAnsi="微软雅黑" w:eastAsia="楷体_GB2312"/>
          <w:b/>
          <w:sz w:val="32"/>
          <w:szCs w:val="32"/>
          <w:shd w:val="clear" w:color="auto" w:fill="FFFFFF"/>
        </w:rPr>
        <w:t>（一）加强组织领导，压实工作责任。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我局认真按照区党委、管委会的部署要求，高度重视政务公开工作，将政务公开工作纳入重要议事日程，成立了以局长任组长的政务公开领导小组，明确领导小组职责，定期召开会议研究政务公开工作。按照要求完成</w:t>
      </w:r>
      <w:r>
        <w:rPr>
          <w:rFonts w:hint="eastAsia" w:ascii="仿宋_GB2312" w:hAnsi="Calibri" w:eastAsia="仿宋_GB2312" w:cs="Times New Roman"/>
          <w:color w:val="1B1B1B"/>
          <w:sz w:val="32"/>
          <w:szCs w:val="32"/>
        </w:rPr>
        <w:t>基层政务公开</w:t>
      </w:r>
      <w:r>
        <w:rPr>
          <w:rFonts w:hint="eastAsia" w:ascii="仿宋_GB2312" w:eastAsia="仿宋_GB2312"/>
          <w:color w:val="1B1B1B"/>
          <w:sz w:val="32"/>
          <w:szCs w:val="32"/>
        </w:rPr>
        <w:t>目录编制和公示工作</w:t>
      </w:r>
      <w:r>
        <w:rPr>
          <w:rFonts w:hint="eastAsia" w:ascii="仿宋_GB2312" w:hAnsi="Calibri" w:eastAsia="仿宋_GB2312" w:cs="Times New Roman"/>
          <w:color w:val="1B1B1B"/>
          <w:sz w:val="32"/>
          <w:szCs w:val="32"/>
        </w:rPr>
        <w:t>。</w:t>
      </w:r>
    </w:p>
    <w:p w14:paraId="564AFF16">
      <w:pPr>
        <w:spacing w:line="600" w:lineRule="exact"/>
        <w:ind w:firstLine="643" w:firstLineChars="200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/>
          <w:b/>
          <w:sz w:val="32"/>
          <w:szCs w:val="32"/>
          <w:shd w:val="clear" w:color="auto" w:fill="FFFFFF"/>
        </w:rPr>
        <w:t>（二）完善工作制度，推进规范管理。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按照“公开为原则，不公开为例外”的总要求，结合我区实际，我局及时、准确、全面公开我局信息，对拟公开的信息，及时进行严格的保密审查，对政务信息安全事故责任追究形成长效机制。</w:t>
      </w:r>
    </w:p>
    <w:p w14:paraId="366CA553">
      <w:pPr>
        <w:spacing w:line="600" w:lineRule="exact"/>
        <w:ind w:firstLine="643" w:firstLineChars="200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/>
          <w:b/>
          <w:sz w:val="32"/>
          <w:szCs w:val="32"/>
          <w:shd w:val="clear" w:color="auto" w:fill="FFFFFF"/>
        </w:rPr>
        <w:t>（三）加强学习培训，提高业务素质。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通过</w:t>
      </w:r>
      <w:r>
        <w:rPr>
          <w:rFonts w:ascii="仿宋_GB2312" w:hAnsi="微软雅黑" w:eastAsia="仿宋_GB2312"/>
          <w:sz w:val="32"/>
          <w:szCs w:val="32"/>
          <w:shd w:val="clear" w:color="auto" w:fill="FFFFFF"/>
        </w:rPr>
        <w:t>积极参加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市、区</w:t>
      </w:r>
      <w:r>
        <w:rPr>
          <w:rFonts w:ascii="仿宋_GB2312" w:hAnsi="微软雅黑" w:eastAsia="仿宋_GB2312"/>
          <w:sz w:val="32"/>
          <w:szCs w:val="32"/>
          <w:shd w:val="clear" w:color="auto" w:fill="FFFFFF"/>
        </w:rPr>
        <w:t>组织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的</w:t>
      </w:r>
      <w:r>
        <w:rPr>
          <w:rFonts w:ascii="仿宋_GB2312" w:hAnsi="微软雅黑" w:eastAsia="仿宋_GB2312"/>
          <w:sz w:val="32"/>
          <w:szCs w:val="32"/>
          <w:shd w:val="clear" w:color="auto" w:fill="FFFFFF"/>
        </w:rPr>
        <w:t>业务学习培训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，以及主动到市政务公开主管部门进行业务学习等方式，</w:t>
      </w:r>
      <w:r>
        <w:rPr>
          <w:rFonts w:ascii="仿宋_GB2312" w:hAnsi="微软雅黑" w:eastAsia="仿宋_GB2312"/>
          <w:sz w:val="32"/>
          <w:szCs w:val="32"/>
          <w:shd w:val="clear" w:color="auto" w:fill="FFFFFF"/>
        </w:rPr>
        <w:t>进一步提升了我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局政务</w:t>
      </w:r>
      <w:r>
        <w:rPr>
          <w:rFonts w:ascii="仿宋_GB2312" w:hAnsi="微软雅黑" w:eastAsia="仿宋_GB2312"/>
          <w:sz w:val="32"/>
          <w:szCs w:val="32"/>
          <w:shd w:val="clear" w:color="auto" w:fill="FFFFFF"/>
        </w:rPr>
        <w:t>公开业务工作水平和管理水平。</w:t>
      </w:r>
    </w:p>
    <w:p w14:paraId="69F735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5"/>
        <w:tblW w:w="8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435"/>
        <w:gridCol w:w="2435"/>
        <w:gridCol w:w="2048"/>
      </w:tblGrid>
      <w:tr w14:paraId="6AA6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EDC7F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3DD3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F51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62B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EF1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E45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7CC8A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0B8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A7E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76E1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23BF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D3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F3D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BB4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199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C88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13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657C3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4884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9CA9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BDA4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302D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58B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33D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 w14:paraId="3ACA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2D923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0F10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1BB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E3D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1277D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B86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1C1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46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303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3A97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91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18D45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7E90E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E10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F98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390A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534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6A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2949</w:t>
            </w:r>
          </w:p>
        </w:tc>
      </w:tr>
    </w:tbl>
    <w:p w14:paraId="13DB0D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497396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199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p w14:paraId="3EA6D9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959"/>
        <w:gridCol w:w="3191"/>
        <w:gridCol w:w="689"/>
        <w:gridCol w:w="689"/>
        <w:gridCol w:w="689"/>
        <w:gridCol w:w="689"/>
        <w:gridCol w:w="689"/>
        <w:gridCol w:w="689"/>
        <w:gridCol w:w="689"/>
      </w:tblGrid>
      <w:tr w14:paraId="103072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2392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D774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293EB1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BEA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52E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CE2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BAE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030141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899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C5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4AF2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61BB6C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6E2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37ED91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361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ABE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180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A6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EB4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B44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0F7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3BB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358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FDB2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F35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3E5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70B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94690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B67B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D76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76AF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D03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98B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635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B87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1467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71B77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02C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CD0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EDE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42D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0B4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B9B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39E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9B1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80A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389C9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AF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804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ED3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D9DD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088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666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850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C907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CD3A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04ED6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9C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2D9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3CD5B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E615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07D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4A9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C5C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03EB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D87F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BB06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42B37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C6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7BF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9C173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E8E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505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B2F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E6FD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4473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071A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457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DF502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E0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94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ED3C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BFF3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FAB6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9F9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3D9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686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3044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A078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83234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C32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65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4663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42AB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D93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56B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E90B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891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A7E7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BD97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855CD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21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B9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FA40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FD6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F2B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10C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DC27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F16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2854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14E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873D3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01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615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089D0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014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0355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1C9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57ED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23A9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44D8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D93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5723D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951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2B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281F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6E3D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CADE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8EF6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33C6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1F5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280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A38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53DD3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21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22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7842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595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C5E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7F76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D319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40AC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1C44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DE3B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97D9F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17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F0B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CF0D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E54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853D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CD6C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0D8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94A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88B2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D0F8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C78A0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EE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32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6651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503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6E90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E68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3983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019E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8950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8E10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D3375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A8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8FA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7BBE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D00B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D1F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F49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287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9D1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84F0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0E9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D1074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38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831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98AED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7C7B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FF7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1FFB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D45A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34C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C93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7A7B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E1308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F0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47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7F22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38C6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9057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988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ABBB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9C97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D56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292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0D52E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15A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C8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ADF1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4A34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E67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E54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0DE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7F4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BB8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CF1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CA052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C4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4D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6145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E5BD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BF4B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FE2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8BA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394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009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BDE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8FDF6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5D0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D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139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B1CC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01F8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0C3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FD8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F8C4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86B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8CE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8AE36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93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816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54D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050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5AB1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882B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6CAC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EAF5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DB8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8C93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D79E7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08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E8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7BF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FFD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26A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EBC3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CD5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E99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FB2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744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A4D61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3B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02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B4D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E01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17F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DFA1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9417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612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CAA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347F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D5F2D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95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C88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342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54B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B32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DC6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CC9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DFB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119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986ED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3E1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B44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716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8B6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173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C4B4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1557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0EF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83317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68528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 w14:paraId="7BABBA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58213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8B3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F6B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50989A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1AD9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B2AE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B29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384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96A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C58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7662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5FDD31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83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63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0D1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99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9E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A880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167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E512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F29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4C66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0BE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DB8B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AFB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C028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1D7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6B18AF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7DD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FA7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47F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D61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3A0B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03E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E58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5BF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C2A8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E31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9E9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2C3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58AB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13A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D41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75B203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3EED8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7AD34917">
      <w:pPr>
        <w:pStyle w:val="4"/>
        <w:spacing w:before="0" w:beforeAutospacing="0" w:after="0" w:afterAutospacing="0" w:line="600" w:lineRule="exact"/>
        <w:ind w:firstLine="643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楷体_GB2312" w:hAnsi="微软雅黑" w:eastAsia="楷体_GB2312" w:cstheme="minorBidi"/>
          <w:b/>
          <w:kern w:val="2"/>
          <w:sz w:val="32"/>
          <w:szCs w:val="32"/>
          <w:shd w:val="clear" w:color="auto" w:fill="FFFFFF"/>
        </w:rPr>
        <w:t>（一）存在问题：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一是工作动态类的政务信息公开的主动性和时效性有待加强；二是公开内容需进一步拓展；三是信息公开的规范性有待进一步加强。</w:t>
      </w:r>
    </w:p>
    <w:p w14:paraId="289DFE9A">
      <w:pPr>
        <w:spacing w:line="600" w:lineRule="exact"/>
        <w:ind w:firstLine="643" w:firstLineChars="200"/>
        <w:rPr>
          <w:rFonts w:ascii="楷体_GB2312" w:hAnsi="微软雅黑" w:eastAsia="楷体_GB2312"/>
          <w:b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/>
          <w:b/>
          <w:sz w:val="32"/>
          <w:szCs w:val="32"/>
          <w:shd w:val="clear" w:color="auto" w:fill="FFFFFF"/>
        </w:rPr>
        <w:t>（二）改进措施：</w:t>
      </w:r>
    </w:p>
    <w:p w14:paraId="7AB2B1BC">
      <w:pPr>
        <w:spacing w:line="600" w:lineRule="exact"/>
        <w:ind w:firstLine="643" w:firstLineChars="200"/>
        <w:rPr>
          <w:rFonts w:ascii="楷体_GB2312" w:hAnsi="微软雅黑" w:eastAsia="楷体_GB2312"/>
          <w:b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/>
          <w:b/>
          <w:sz w:val="32"/>
          <w:szCs w:val="32"/>
          <w:shd w:val="clear" w:color="auto" w:fill="FFFFFF"/>
        </w:rPr>
        <w:t>一是强化思想认识。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加强对《政府信息公开条例》的学习，增强工作的主动性和责任意识，准确把握政策要求，做到该公开的及时公开，不该公开的要做好保密工作。</w:t>
      </w:r>
    </w:p>
    <w:p w14:paraId="50DF75C0">
      <w:pPr>
        <w:spacing w:line="600" w:lineRule="exact"/>
        <w:ind w:firstLine="643" w:firstLineChars="200"/>
        <w:rPr>
          <w:rFonts w:ascii="微软雅黑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/>
          <w:b/>
          <w:sz w:val="32"/>
          <w:szCs w:val="32"/>
          <w:shd w:val="clear" w:color="auto" w:fill="FFFFFF"/>
        </w:rPr>
        <w:t>二是突出重点内容，加大主动公开力度。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对于经济社会发展和群众生活密切相关的政府信息，给予重点关注；加强对公众关注度高的规范性文件的转载和解读力度。</w:t>
      </w:r>
    </w:p>
    <w:p w14:paraId="5A3D1241"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微软雅黑" w:eastAsia="楷体_GB2312"/>
          <w:b/>
          <w:sz w:val="32"/>
          <w:szCs w:val="32"/>
          <w:shd w:val="clear" w:color="auto" w:fill="FFFFFF"/>
        </w:rPr>
        <w:t>三是加强业务培训，提升工作服务水平。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有针对性地开展政务信息公开相关培训，积极参加上级有关部门组织的业务培训，不断提高工作人员的业务水平，推动政务公开工作深入发展。加强信息发布和管理监督力度，不断提高政务服务水平。</w:t>
      </w:r>
    </w:p>
    <w:p w14:paraId="092433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 w14:paraId="09403E74">
      <w:pPr>
        <w:spacing w:line="600" w:lineRule="exact"/>
        <w:ind w:firstLine="540" w:firstLineChars="200"/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7"/>
          <w:szCs w:val="27"/>
        </w:rPr>
        <w:t>本年度，未收取信息处理费。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91BC8"/>
    <w:rsid w:val="10C832C3"/>
    <w:rsid w:val="19E3241A"/>
    <w:rsid w:val="213B23DB"/>
    <w:rsid w:val="3D542C89"/>
    <w:rsid w:val="3D82046B"/>
    <w:rsid w:val="44024872"/>
    <w:rsid w:val="4F983BCF"/>
    <w:rsid w:val="5E867266"/>
    <w:rsid w:val="62175534"/>
    <w:rsid w:val="6FCF35D4"/>
    <w:rsid w:val="70C3042B"/>
    <w:rsid w:val="780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</Words>
  <Characters>235</Characters>
  <Lines>0</Lines>
  <Paragraphs>0</Paragraphs>
  <TotalTime>2</TotalTime>
  <ScaleCrop>false</ScaleCrop>
  <LinksUpToDate>false</LinksUpToDate>
  <CharactersWithSpaces>235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手可摘星辰</cp:lastModifiedBy>
  <cp:lastPrinted>2021-11-08T10:08:00Z</cp:lastPrinted>
  <dcterms:modified xsi:type="dcterms:W3CDTF">2025-01-20T10:40:54Z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B1B7C9BB9BF146B59F20AF5CB2E1A188</vt:lpwstr>
  </property>
  <property fmtid="{D5CDD505-2E9C-101B-9397-08002B2CF9AE}" pid="4" name="KSOTemplateDocerSaveRecord">
    <vt:lpwstr>eyJoZGlkIjoiODJiYTA5OWYwMzU3YTllMTkzNTU1MmQyMjE2MjRkNDAiLCJ1c2VySWQiOiI0NDMwOTk1MzIifQ==</vt:lpwstr>
  </property>
</Properties>
</file>