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97AC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3742AEE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湛江奋勇高新区招商服务局202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年度政府信息公开工作年度报告</w:t>
      </w:r>
    </w:p>
    <w:p w14:paraId="78668BE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0FBAAFE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firstLine="640" w:firstLineChars="200"/>
        <w:jc w:val="both"/>
        <w:textAlignment w:val="auto"/>
        <w:rPr>
          <w:rFonts w:hint="eastAsia" w:ascii="仿宋_GB2312" w:hAnsi="微软雅黑" w:eastAsia="仿宋_GB2312" w:cstheme="minorBidi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微软雅黑" w:eastAsia="仿宋_GB2312" w:cstheme="minorBidi"/>
          <w:kern w:val="2"/>
          <w:sz w:val="32"/>
          <w:szCs w:val="32"/>
          <w:shd w:val="clear" w:color="auto" w:fill="FFFFFF"/>
          <w:lang w:val="en-US" w:eastAsia="zh-CN" w:bidi="ar-SA"/>
        </w:rPr>
        <w:t>本报告由湛江奋勇高新区招商服务局根据《中华人民共和国政府信息公开条例》和《国务院办公厅政府信息与政务公开办公室关于印发&lt;中华人民共和国政府信息公开工作年度报告格式&gt;的通知》等文件精神，并结合我办实际编写而成。全文包括总体情况、主动公开政府信息情况、收到和处理政府信息公开申请情况、政府信息公开行政复议、行政诉讼情况、存在的主要</w:t>
      </w:r>
      <w:r>
        <w:rPr>
          <w:rFonts w:hint="eastAsia" w:ascii="仿宋_GB2312" w:hAnsi="微软雅黑" w:eastAsia="仿宋_GB2312" w:cstheme="minorBidi"/>
          <w:spacing w:val="-11"/>
          <w:kern w:val="2"/>
          <w:sz w:val="32"/>
          <w:szCs w:val="32"/>
          <w:shd w:val="clear" w:color="auto" w:fill="FFFFFF"/>
          <w:lang w:val="en-US" w:eastAsia="zh-CN" w:bidi="ar-SA"/>
        </w:rPr>
        <w:t>问题及改进情况、其他需要报告的事项等六部分内容。本年度报告中所列数据统计期限从2025年1月1日起至2025年12月31日止。</w:t>
      </w:r>
      <w:r>
        <w:rPr>
          <w:rFonts w:hint="eastAsia" w:ascii="仿宋_GB2312" w:hAnsi="微软雅黑" w:eastAsia="仿宋_GB2312" w:cstheme="minorBidi"/>
          <w:kern w:val="2"/>
          <w:sz w:val="32"/>
          <w:szCs w:val="32"/>
          <w:shd w:val="clear" w:color="auto" w:fill="FFFFFF"/>
          <w:lang w:val="en-US" w:eastAsia="zh-CN" w:bidi="ar-SA"/>
        </w:rPr>
        <w:t>本年度报告电子版可在“广东湛江奋勇高新区”（http://www.fenyong.gov.cn/）网站查询和下载。如对本报告有疑问，请与湛江奋勇高新区办公室联系（地址：湛江奋勇高新区管委会机关大院，邮编：524232，电话：0759-8156126，传真：0759-8156021，电子邮箱：zj</w:t>
      </w:r>
      <w:r>
        <w:rPr>
          <w:rFonts w:hint="eastAsia" w:ascii="仿宋_GB2312" w:hAnsi="微软雅黑" w:eastAsia="仿宋_GB2312" w:cstheme="minorBidi"/>
          <w:kern w:val="2"/>
          <w:sz w:val="32"/>
          <w:szCs w:val="32"/>
          <w:shd w:val="clear" w:color="auto" w:fill="FFFFFF"/>
          <w:lang w:val="en-US" w:eastAsia="zh-CN" w:bidi="ar-SA"/>
        </w:rPr>
        <w:fldChar w:fldCharType="begin"/>
      </w:r>
      <w:r>
        <w:rPr>
          <w:rFonts w:hint="eastAsia" w:ascii="仿宋_GB2312" w:hAnsi="微软雅黑" w:eastAsia="仿宋_GB2312" w:cstheme="minorBidi"/>
          <w:kern w:val="2"/>
          <w:sz w:val="32"/>
          <w:szCs w:val="32"/>
          <w:shd w:val="clear" w:color="auto" w:fill="FFFFFF"/>
          <w:lang w:val="en-US" w:eastAsia="zh-CN" w:bidi="ar-SA"/>
        </w:rPr>
        <w:instrText xml:space="preserve"> HYPERLINK "mailto:fygxq@163.com" </w:instrText>
      </w:r>
      <w:r>
        <w:rPr>
          <w:rFonts w:hint="eastAsia" w:ascii="仿宋_GB2312" w:hAnsi="微软雅黑" w:eastAsia="仿宋_GB2312" w:cstheme="minorBidi"/>
          <w:kern w:val="2"/>
          <w:sz w:val="32"/>
          <w:szCs w:val="32"/>
          <w:shd w:val="clear" w:color="auto" w:fill="FFFFFF"/>
          <w:lang w:val="en-US" w:eastAsia="zh-CN" w:bidi="ar-SA"/>
        </w:rPr>
        <w:fldChar w:fldCharType="separate"/>
      </w:r>
      <w:r>
        <w:rPr>
          <w:rFonts w:hint="eastAsia" w:ascii="仿宋_GB2312" w:hAnsi="微软雅黑" w:eastAsia="仿宋_GB2312" w:cstheme="minorBidi"/>
          <w:kern w:val="2"/>
          <w:sz w:val="32"/>
          <w:szCs w:val="32"/>
          <w:shd w:val="clear" w:color="auto" w:fill="FFFFFF"/>
          <w:lang w:val="en-US" w:eastAsia="zh-CN" w:bidi="ar-SA"/>
        </w:rPr>
        <w:t>fygxq@163.com</w:t>
      </w:r>
      <w:r>
        <w:rPr>
          <w:rFonts w:hint="eastAsia" w:ascii="仿宋_GB2312" w:hAnsi="微软雅黑" w:eastAsia="仿宋_GB2312" w:cstheme="minorBidi"/>
          <w:kern w:val="2"/>
          <w:sz w:val="32"/>
          <w:szCs w:val="32"/>
          <w:shd w:val="clear" w:color="auto" w:fill="FFFFFF"/>
          <w:lang w:val="en-US" w:eastAsia="zh-CN" w:bidi="ar-SA"/>
        </w:rPr>
        <w:fldChar w:fldCharType="end"/>
      </w:r>
      <w:r>
        <w:rPr>
          <w:rFonts w:hint="eastAsia" w:ascii="仿宋_GB2312" w:hAnsi="微软雅黑" w:eastAsia="仿宋_GB2312" w:cstheme="minorBidi"/>
          <w:kern w:val="2"/>
          <w:sz w:val="32"/>
          <w:szCs w:val="32"/>
          <w:shd w:val="clear" w:color="auto" w:fill="FFFFFF"/>
          <w:lang w:val="en-US" w:eastAsia="zh-CN" w:bidi="ar-SA"/>
        </w:rPr>
        <w:t>）。</w:t>
      </w:r>
    </w:p>
    <w:p w14:paraId="6E80F37B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一、工作总体情况</w:t>
      </w:r>
    </w:p>
    <w:p w14:paraId="65200E3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2025年，我局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认真贯彻落实《中华人民共和国政府信息公开条例》和省、市关于全面推进政务公开工作的精神，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深入践行“以公开为常态、不公开为例外”的工作原则，严格遵循公正、公平、合法、便民的核心要求，全面推进政府信息公开各项工作。全年聚焦公开内容拓展、公开形式规范、公开制度完善三大重点，持续提升政务工作透明度与公信力，切实保障社会公众的知情权、参与权和监督权，为优化园区营商环境、服务企业发展筑牢信息公开基础。</w:t>
      </w:r>
    </w:p>
    <w:p w14:paraId="51DCD14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在工作推进中，我局强化组织保障，明确信息公开责任分工，将公开要求融入日常业务流程；严格执行保密审查制度，建立“先审查、后发布”的信息发布审核机制，确保公开信息的准确性、合规性；不断优化公开渠道，提升信息传播的便捷性与覆盖面，推动政府信息公开工作有序开展。</w:t>
      </w:r>
    </w:p>
    <w:p w14:paraId="2CB958A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36" w:firstLineChars="199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二、主动公开政府信息详情</w:t>
      </w:r>
    </w:p>
    <w:tbl>
      <w:tblPr>
        <w:tblStyle w:val="7"/>
        <w:tblW w:w="86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20"/>
        <w:gridCol w:w="2435"/>
        <w:gridCol w:w="2435"/>
        <w:gridCol w:w="2048"/>
      </w:tblGrid>
      <w:tr w14:paraId="6AA6A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2EDC7F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第二十条第（一）项</w:t>
            </w:r>
          </w:p>
        </w:tc>
      </w:tr>
      <w:tr w14:paraId="3DD3F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2F51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F62B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BEF1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本年废止件数</w:t>
            </w:r>
          </w:p>
        </w:tc>
        <w:tc>
          <w:tcPr>
            <w:tcW w:w="20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1E45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现行有效件数</w:t>
            </w:r>
          </w:p>
        </w:tc>
      </w:tr>
      <w:tr w14:paraId="7CC8A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90B8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CA7E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76E1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23BF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ED30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3F3D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8BB4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F199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FC88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9131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63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4657C3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第二十条第（五）项</w:t>
            </w:r>
          </w:p>
        </w:tc>
      </w:tr>
      <w:tr w14:paraId="48841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9CA9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691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BDA4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 w14:paraId="302D6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058B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691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D33D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ACA2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63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62D923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第二十条第（六）项</w:t>
            </w:r>
          </w:p>
        </w:tc>
      </w:tr>
      <w:tr w14:paraId="0F107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91BB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69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AE3D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 w14:paraId="1277D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DB86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行政处罚</w:t>
            </w:r>
          </w:p>
        </w:tc>
        <w:tc>
          <w:tcPr>
            <w:tcW w:w="691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B1C1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9461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C303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行政强制</w:t>
            </w:r>
          </w:p>
        </w:tc>
        <w:tc>
          <w:tcPr>
            <w:tcW w:w="691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3A97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7914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63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018D45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第二十条第（八）项</w:t>
            </w:r>
          </w:p>
        </w:tc>
      </w:tr>
      <w:tr w14:paraId="7E90E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FE10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6918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4F98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本年收费金额（单位：万元）</w:t>
            </w:r>
          </w:p>
        </w:tc>
      </w:tr>
      <w:tr w14:paraId="390A6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4534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行政事业性收费</w:t>
            </w:r>
          </w:p>
        </w:tc>
        <w:tc>
          <w:tcPr>
            <w:tcW w:w="6918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96A0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13DB0D3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497396C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199" w:right="0" w:rightChars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三、收到和处理政府信息公开申请情况</w:t>
      </w:r>
    </w:p>
    <w:p w14:paraId="3EA6D97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5"/>
        <w:gridCol w:w="959"/>
        <w:gridCol w:w="3191"/>
        <w:gridCol w:w="689"/>
        <w:gridCol w:w="689"/>
        <w:gridCol w:w="689"/>
        <w:gridCol w:w="689"/>
        <w:gridCol w:w="689"/>
        <w:gridCol w:w="689"/>
        <w:gridCol w:w="689"/>
      </w:tblGrid>
      <w:tr w14:paraId="1030725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492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2392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（本列数据的勾稽关系为：第一项加第二项之和，等于第三项加第四项之和）</w:t>
            </w:r>
          </w:p>
        </w:tc>
        <w:tc>
          <w:tcPr>
            <w:tcW w:w="482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D774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申请人情况</w:t>
            </w:r>
          </w:p>
        </w:tc>
      </w:tr>
      <w:tr w14:paraId="293EB14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BEA0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952E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自然人</w:t>
            </w:r>
          </w:p>
        </w:tc>
        <w:tc>
          <w:tcPr>
            <w:tcW w:w="344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CCE2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3BAE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 w14:paraId="0301418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8996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BC58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4AF2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商业</w:t>
            </w:r>
          </w:p>
          <w:p w14:paraId="61BB6C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B6E2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科研</w:t>
            </w:r>
          </w:p>
          <w:p w14:paraId="37ED91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机构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9361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社会公益组织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EABE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法律服务机构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F180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DA67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5EB4B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0B44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一、本年新收政府信息公开申请数量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E0F7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E3BB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1358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FDB2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0F35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73E5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670B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946903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B67B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二、上年结转政府信息公开申请数量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AD76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76AF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0D03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B98B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9635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AB87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1467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71B77A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5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F02C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三、本年度办理结果</w:t>
            </w:r>
          </w:p>
        </w:tc>
        <w:tc>
          <w:tcPr>
            <w:tcW w:w="41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8CD0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（一）予以公开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0EDE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742D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70B4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CB9B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239E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29B1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380A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389C96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AAFD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D804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（二）部分公开（区分处理的，只计这一情形，不计其他情形）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3ED3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D9DD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D088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1666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4850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C907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CD3A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04ED63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59CF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52D9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（三）不予公开</w:t>
            </w:r>
          </w:p>
        </w:tc>
        <w:tc>
          <w:tcPr>
            <w:tcW w:w="3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3CD5B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1.属于国家秘密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E615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D07D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74A9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1C5C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03EB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D87F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BB06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42B37F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2C68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7BFA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9C173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2.其他法律行政法规禁止公开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9E8E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5505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1B2F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E6FD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4473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071A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A457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DF5025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8E0B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1944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2ED3C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3.危及“三安全一稳定”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BFF3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FAB6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19F99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73D9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C686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3044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A078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83234A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C322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F65B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24663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4.保护第三方合法权益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42AB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6D93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656B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E90B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6891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A7E7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BD97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855CDB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1212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AB93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3FA40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5.属于三类内部事务信息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BFD6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0F2B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E10C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DC27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8F16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2854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414E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873D30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3012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615F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089D0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6.属于四类过程性信息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2014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03554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61C9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57ED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23A9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44D8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8D93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5723D8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9518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72B7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D281F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7.属于行政执法案卷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6E3D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CADE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8EF6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33C6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61F5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C2804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4A38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53DD3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B215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9220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C7842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8.属于行政查询事项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C595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8C5E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7F76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D319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40AC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1C44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DE3B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97D9F5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D17A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CF0B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（四）无法提供</w:t>
            </w:r>
          </w:p>
        </w:tc>
        <w:tc>
          <w:tcPr>
            <w:tcW w:w="3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BCF0D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1.本机关不掌握相关政府信息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DE54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853D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CD6C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90D8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F94A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88B2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D0F8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C78A00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2EEF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E329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E6651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2.没有现成信息需要另行制作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4503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6E90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0E68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3983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019E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8950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8E10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D33756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BA8A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8FA2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87BBE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3.补正后申请内容仍不明确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D00B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DD1F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6F49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B287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D9D1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84F0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80E9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D10748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4385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C831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（五）不予处理</w:t>
            </w:r>
          </w:p>
        </w:tc>
        <w:tc>
          <w:tcPr>
            <w:tcW w:w="3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98AED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1.信访举报投诉类申请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7C7B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5FF7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1FFB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D45A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034C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BC93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7A7B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E13088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3F0B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4474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A7F22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2.重复申请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38C6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9057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7988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ABBB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9C97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6D56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C292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0D52E8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15A6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CC80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EADF1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3.要求提供公开出版物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4A34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9E67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7E54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50DE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47F4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2BB87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DCF19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CA0524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0C49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64DF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C6145D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4.无正当理由大量反复申请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E5BD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BF4B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2FE2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88BA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3394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3009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1BDE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8FDF6F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5D05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6D0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0139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5.要求行政机关确认或重新出具已获取信息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B1CC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01F8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80C3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2FD8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F8C4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986B2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48CE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8AE363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0936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9816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（六）其他处理</w:t>
            </w:r>
          </w:p>
        </w:tc>
        <w:tc>
          <w:tcPr>
            <w:tcW w:w="3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D54D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1.申请人无正当理由逾期不补正、行政机关不再处理其政府信息公开申请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F050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5AB1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882B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6CAC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EAF5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0DB8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8C93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D79E7B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F08A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8E89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B7BF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2.申请人逾期未按收费通知要求缴纳费用、行政机关不再处理其政府信息公开申请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AFFD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F26A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EBC3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8CD5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BE999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AFB2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8744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A4D611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13B5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2029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FB4D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3.其他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CE01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017F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DFA1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9417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7612C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ACAA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347F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D5F2D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0952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BC88A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（七）总计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0342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C54B7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AB32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8DC6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FCC9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FDFB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3119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986ED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C3E1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四、结转下年度继续办理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AB44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8716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78B6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6173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C4B4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1557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0EFB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7BABBA4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四、政府信息公开行政复议、行政诉讼情况</w:t>
      </w:r>
    </w:p>
    <w:tbl>
      <w:tblPr>
        <w:tblStyle w:val="7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458213B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78B3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0F6B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行政诉讼</w:t>
            </w:r>
          </w:p>
        </w:tc>
      </w:tr>
      <w:tr w14:paraId="50989AF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1AD9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B2AE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AB29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8384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C96A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5C58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7662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复议后起诉</w:t>
            </w:r>
          </w:p>
        </w:tc>
      </w:tr>
      <w:tr w14:paraId="5FDD314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883E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5639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0D10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A99A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69EA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A880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B167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E512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AF29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4C66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50BE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DB8B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7AFB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C028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F1D7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 w14:paraId="6B18AF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F7DD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3FA7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C47F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ED61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3A0B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803E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DE58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85BF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C2A8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0E31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49E9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52C3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58AB7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713A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D41F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5ECABF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FEC89D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五、现存问题与改进举措</w:t>
      </w:r>
    </w:p>
    <w:p w14:paraId="0281205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（一）主要问题。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一是信息公开时效性有待提升：部分工作动态、政策解读等信息发布节奏与实际工作推进进度衔接不够紧密，未能完全满足公众对信息及时性的需求。二是公开平台影响力不足：群众对政务公开平台的知晓度和关注度较低，信息传播覆盖面有限，未能充分发挥信息公开的服务效能。</w:t>
      </w:r>
    </w:p>
    <w:p w14:paraId="07BAFF7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（二）改进措施。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一是强化时效管理：建立信息公开“台账式”管理机制，明确各类信息的发布时限和责任主体，加强对信息发布流程的跟踪督办，确保工作动态、政策文件等信息第一时间对外公开。二是提升公开质量：组建政策解读专项小组，围绕园区招商重点、惠企政策等核心内容，编制通俗化解读材料和案例汇编，通过图文结合、问答互动等形式，增强政策解读的可读性和实用性。</w:t>
      </w:r>
    </w:p>
    <w:p w14:paraId="187F976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六、其他需报告事项</w:t>
      </w:r>
      <w:bookmarkStart w:id="0" w:name="_GoBack"/>
      <w:bookmarkEnd w:id="0"/>
    </w:p>
    <w:p w14:paraId="24E9CAB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本年度未收取任何信息处理费用。</w:t>
      </w:r>
    </w:p>
    <w:p w14:paraId="0AC0E73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09403E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71C04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F21706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F21706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907F2"/>
    <w:rsid w:val="09151F1E"/>
    <w:rsid w:val="0BC84A74"/>
    <w:rsid w:val="10C832C3"/>
    <w:rsid w:val="124332CF"/>
    <w:rsid w:val="167364D9"/>
    <w:rsid w:val="17B44160"/>
    <w:rsid w:val="18F40581"/>
    <w:rsid w:val="19E3241A"/>
    <w:rsid w:val="2F2346E4"/>
    <w:rsid w:val="32E646DB"/>
    <w:rsid w:val="37B6784D"/>
    <w:rsid w:val="3D82046B"/>
    <w:rsid w:val="3F011DBB"/>
    <w:rsid w:val="41C25299"/>
    <w:rsid w:val="53000C00"/>
    <w:rsid w:val="55BC3736"/>
    <w:rsid w:val="55D13859"/>
    <w:rsid w:val="68B63758"/>
    <w:rsid w:val="6DF04DCF"/>
    <w:rsid w:val="6FCF35D4"/>
    <w:rsid w:val="70C3042B"/>
    <w:rsid w:val="734302A2"/>
    <w:rsid w:val="780C4356"/>
    <w:rsid w:val="79E4538B"/>
    <w:rsid w:val="7A06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670</Words>
  <Characters>679</Characters>
  <Lines>0</Lines>
  <Paragraphs>0</Paragraphs>
  <TotalTime>3</TotalTime>
  <ScaleCrop>false</ScaleCrop>
  <LinksUpToDate>false</LinksUpToDate>
  <CharactersWithSpaces>679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卢小圆⊙﹏⊙</cp:lastModifiedBy>
  <cp:lastPrinted>2021-11-08T10:08:00Z</cp:lastPrinted>
  <dcterms:modified xsi:type="dcterms:W3CDTF">2026-01-19T09:47:02Z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9F11D4291D694457958EE42F9E2AD2C4_13</vt:lpwstr>
  </property>
  <property fmtid="{D5CDD505-2E9C-101B-9397-08002B2CF9AE}" pid="4" name="KSOTemplateDocerSaveRecord">
    <vt:lpwstr>eyJoZGlkIjoiODY0ZDI0NDAyNThkOTllNDBjMDhmZDQzZDkwM2NlOGIiLCJ1c2VySWQiOiIyMTIzNTUzNDYifQ==</vt:lpwstr>
  </property>
</Properties>
</file>